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F664" w14:textId="77777777" w:rsidR="00B26526" w:rsidRPr="00450FB4" w:rsidRDefault="00B26526" w:rsidP="00B76E26">
      <w:pPr>
        <w:pStyle w:val="BodyText"/>
        <w:spacing w:before="1"/>
        <w:rPr>
          <w:sz w:val="7"/>
        </w:rPr>
      </w:pPr>
      <w:bookmarkStart w:id="0" w:name="_Hlk189208867"/>
    </w:p>
    <w:p w14:paraId="16224EEB" w14:textId="77777777" w:rsidR="00B26526" w:rsidRPr="00450FB4" w:rsidRDefault="00D67080" w:rsidP="00B76E26">
      <w:pPr>
        <w:pStyle w:val="BodyText"/>
        <w:ind w:left="114"/>
      </w:pPr>
      <w:r w:rsidRPr="00450FB4">
        <w:drawing>
          <wp:inline distT="0" distB="0" distL="0" distR="0" wp14:anchorId="68761652" wp14:editId="15434991">
            <wp:extent cx="1040765" cy="1015858"/>
            <wp:effectExtent l="0" t="0" r="6985"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rcRect l="9736" t="10717" r="10418" b="11349"/>
                    <a:stretch>
                      <a:fillRect/>
                    </a:stretch>
                  </pic:blipFill>
                  <pic:spPr bwMode="auto">
                    <a:xfrm>
                      <a:off x="0" y="0"/>
                      <a:ext cx="1041603" cy="1016676"/>
                    </a:xfrm>
                    <a:prstGeom prst="rect">
                      <a:avLst/>
                    </a:prstGeom>
                    <a:ln>
                      <a:noFill/>
                    </a:ln>
                    <a:extLst>
                      <a:ext uri="{53640926-AAD7-44D8-BBD7-CCE9431645EC}">
                        <a14:shadowObscured xmlns:a14="http://schemas.microsoft.com/office/drawing/2010/main"/>
                      </a:ext>
                    </a:extLst>
                  </pic:spPr>
                </pic:pic>
              </a:graphicData>
            </a:graphic>
          </wp:inline>
        </w:drawing>
      </w:r>
      <w:r w:rsidR="00CE7C29" w:rsidRPr="00450FB4">
        <w:tab/>
      </w:r>
    </w:p>
    <w:p w14:paraId="3D3A5920" w14:textId="77777777" w:rsidR="00F26E24" w:rsidRPr="00450FB4" w:rsidRDefault="00F26E24" w:rsidP="00B76E26">
      <w:pPr>
        <w:pStyle w:val="BodyText"/>
        <w:ind w:left="114"/>
      </w:pPr>
    </w:p>
    <w:p w14:paraId="0279EC9B" w14:textId="77777777" w:rsidR="00FB7949" w:rsidRPr="00450FB4" w:rsidRDefault="00D67080" w:rsidP="009E37B1">
      <w:pPr>
        <w:pStyle w:val="Heading1"/>
        <w:ind w:left="0" w:right="45"/>
        <w:jc w:val="both"/>
        <w:rPr>
          <w:sz w:val="28"/>
          <w:szCs w:val="28"/>
        </w:rPr>
      </w:pPr>
      <w:bookmarkStart w:id="1" w:name="_Hlk189218298"/>
      <w:bookmarkStart w:id="2" w:name="_Hlk189140706"/>
      <w:r w:rsidRPr="00450FB4">
        <w:rPr>
          <w:sz w:val="28"/>
          <w:szCs w:val="28"/>
        </w:rPr>
        <w:t>The Impact of Fintech Acquisition on Acquirers in India</w:t>
      </w:r>
      <w:bookmarkEnd w:id="1"/>
      <w:r w:rsidRPr="00450FB4">
        <w:rPr>
          <w:sz w:val="28"/>
          <w:szCs w:val="28"/>
        </w:rPr>
        <w:t>: A Study on Financial Performance and Parameters</w:t>
      </w:r>
      <w:bookmarkEnd w:id="2"/>
    </w:p>
    <w:p w14:paraId="1A76B0D5" w14:textId="77777777" w:rsidR="009E37B1" w:rsidRPr="00450FB4" w:rsidRDefault="009E37B1" w:rsidP="009E37B1">
      <w:pPr>
        <w:pStyle w:val="Heading1"/>
        <w:ind w:left="0" w:right="45"/>
        <w:jc w:val="both"/>
        <w:rPr>
          <w:b w:val="0"/>
          <w:bCs w:val="0"/>
        </w:rPr>
      </w:pPr>
    </w:p>
    <w:p w14:paraId="566A8989" w14:textId="77777777" w:rsidR="003D62A3" w:rsidRPr="00450FB4" w:rsidRDefault="00D67080" w:rsidP="00B76E26">
      <w:pPr>
        <w:widowControl/>
        <w:autoSpaceDE/>
        <w:autoSpaceDN/>
        <w:spacing w:after="160"/>
        <w:jc w:val="both"/>
        <w:rPr>
          <w:rFonts w:eastAsia="Calibri"/>
          <w:kern w:val="2"/>
          <w14:ligatures w14:val="standardContextual"/>
        </w:rPr>
      </w:pPr>
      <w:r w:rsidRPr="00450FB4">
        <w:rPr>
          <w:rFonts w:eastAsia="Calibri"/>
          <w:kern w:val="2"/>
          <w14:ligatures w14:val="standardContextual"/>
        </w:rPr>
        <w:t xml:space="preserve">Manoj </w:t>
      </w:r>
      <w:bookmarkStart w:id="3" w:name="_Hlk189218245"/>
      <w:r w:rsidRPr="00450FB4">
        <w:rPr>
          <w:rFonts w:eastAsia="Calibri"/>
          <w:kern w:val="2"/>
          <w14:ligatures w14:val="standardContextual"/>
        </w:rPr>
        <w:t>Panda</w:t>
      </w:r>
      <w:r w:rsidRPr="00450FB4">
        <w:rPr>
          <w:rStyle w:val="FootnoteReference"/>
          <w:rFonts w:eastAsia="Calibri"/>
          <w:kern w:val="2"/>
          <w14:ligatures w14:val="standardContextual"/>
        </w:rPr>
        <w:footnoteReference w:id="1"/>
      </w:r>
      <w:r w:rsidRPr="00450FB4">
        <w:rPr>
          <w:rFonts w:eastAsia="Calibri"/>
          <w:kern w:val="2"/>
          <w14:ligatures w14:val="standardContextual"/>
        </w:rPr>
        <w:t>, Pankaj Sharma</w:t>
      </w:r>
      <w:r w:rsidRPr="00450FB4">
        <w:rPr>
          <w:rStyle w:val="FootnoteReference"/>
          <w:rFonts w:eastAsia="Calibri"/>
          <w:kern w:val="2"/>
          <w14:ligatures w14:val="standardContextual"/>
        </w:rPr>
        <w:footnoteReference w:id="2"/>
      </w:r>
      <w:r w:rsidRPr="00450FB4">
        <w:rPr>
          <w:rFonts w:eastAsia="Calibri"/>
          <w:kern w:val="2"/>
          <w14:ligatures w14:val="standardContextual"/>
        </w:rPr>
        <w:t xml:space="preserve">, Manohar Kapse </w:t>
      </w:r>
      <w:r w:rsidRPr="00450FB4">
        <w:rPr>
          <w:rStyle w:val="FootnoteReference"/>
          <w:rFonts w:eastAsia="Calibri"/>
          <w:kern w:val="2"/>
          <w14:ligatures w14:val="standardContextual"/>
        </w:rPr>
        <w:footnoteReference w:id="3"/>
      </w:r>
      <w:r w:rsidRPr="00450FB4">
        <w:rPr>
          <w:rFonts w:eastAsia="Calibri"/>
          <w:kern w:val="2"/>
          <w14:ligatures w14:val="standardContextual"/>
        </w:rPr>
        <w:t>and Vinod Sharma</w:t>
      </w:r>
      <w:bookmarkEnd w:id="3"/>
      <w:r w:rsidRPr="00450FB4">
        <w:rPr>
          <w:rStyle w:val="FootnoteReference"/>
          <w:rFonts w:eastAsia="Calibri"/>
          <w:kern w:val="2"/>
          <w14:ligatures w14:val="standardContextual"/>
        </w:rPr>
        <w:footnoteReference w:id="4"/>
      </w:r>
      <w:r w:rsidRPr="00450FB4">
        <w:rPr>
          <w:rFonts w:eastAsia="Calibri"/>
          <w:kern w:val="2"/>
          <w14:ligatures w14:val="standardContextual"/>
        </w:rPr>
        <w:t>*</w:t>
      </w:r>
    </w:p>
    <w:p w14:paraId="502B396A" w14:textId="77777777" w:rsidR="00102A96" w:rsidRPr="00450FB4" w:rsidRDefault="00102A96" w:rsidP="00B76E26">
      <w:pPr>
        <w:widowControl/>
        <w:autoSpaceDE/>
        <w:autoSpaceDN/>
        <w:spacing w:after="160"/>
        <w:jc w:val="both"/>
        <w:rPr>
          <w:rFonts w:eastAsia="Calibri"/>
          <w:b/>
          <w:bCs/>
          <w:kern w:val="2"/>
          <w14:ligatures w14:val="standardContextual"/>
        </w:rPr>
      </w:pPr>
    </w:p>
    <w:p w14:paraId="25467FE3" w14:textId="77777777" w:rsidR="003D62A3" w:rsidRPr="00450FB4" w:rsidRDefault="00D67080" w:rsidP="00B76E26">
      <w:pPr>
        <w:widowControl/>
        <w:autoSpaceDE/>
        <w:autoSpaceDN/>
        <w:spacing w:after="160"/>
        <w:jc w:val="both"/>
        <w:rPr>
          <w:rFonts w:eastAsia="Calibri"/>
          <w:b/>
          <w:bCs/>
          <w:kern w:val="2"/>
          <w14:ligatures w14:val="standardContextual"/>
        </w:rPr>
      </w:pPr>
      <w:r w:rsidRPr="00450FB4">
        <w:rPr>
          <w:rFonts w:eastAsia="Calibri"/>
          <w:b/>
          <w:bCs/>
          <w:kern w:val="2"/>
          <w14:ligatures w14:val="standardContextual"/>
        </w:rPr>
        <w:t>Abstract</w:t>
      </w:r>
    </w:p>
    <w:p w14:paraId="1CA4DBEB" w14:textId="77777777" w:rsidR="00A95558" w:rsidRPr="00450FB4" w:rsidRDefault="00D67080" w:rsidP="00B76E26">
      <w:pPr>
        <w:widowControl/>
        <w:autoSpaceDE/>
        <w:autoSpaceDN/>
        <w:spacing w:after="160"/>
        <w:jc w:val="both"/>
        <w:rPr>
          <w:rFonts w:eastAsia="Calibri"/>
          <w:kern w:val="2"/>
          <w14:ligatures w14:val="standardContextual"/>
        </w:rPr>
      </w:pPr>
      <w:r w:rsidRPr="00450FB4">
        <w:rPr>
          <w:rFonts w:eastAsia="Calibri"/>
          <w:kern w:val="2"/>
          <w14:ligatures w14:val="standardContextual"/>
        </w:rPr>
        <w:t>This study examines the long-run impact of acquisitions of fintech firms on the financial performance of acquiring firms in India from 2010-2023. The research utilised advanced econometric methods such as fixed effect panel regression and iterative generalised method of moments. The research focuses on key performance indicators, which include return on assets (ROA), net profit margin (NPM), average share price (ASP), current ratio (CR), and financial leverage (FL). A total sample of 155 mergers and acquisitions deals consisting of both financial and non-financial listed firms taken from Bloomberg have been considered in this research. The findings show that fintech takeovers are documented as a two-edged sword. The ASP rose considerably after the acquisition, indicating improved market value, while ROA and NPM declined. The CR shows improved liquidity, and FL indicated a higher equity base than debt after the acquisition. The research indicates that it is difficult for fintech acquirers to attain operational synergies even though the market is favo</w:t>
      </w:r>
      <w:r w:rsidR="00240B98" w:rsidRPr="00450FB4">
        <w:rPr>
          <w:rFonts w:eastAsia="Calibri"/>
          <w:kern w:val="2"/>
          <w14:ligatures w14:val="standardContextual"/>
        </w:rPr>
        <w:t>u</w:t>
      </w:r>
      <w:r w:rsidRPr="00450FB4">
        <w:rPr>
          <w:rFonts w:eastAsia="Calibri"/>
          <w:kern w:val="2"/>
          <w14:ligatures w14:val="standardContextual"/>
        </w:rPr>
        <w:t xml:space="preserve">rable. The study also emphasises the critical role of effective post-merger integration and strategic alignment in realising the full potential of fintech acquisition. This research yields valuable insights for financial institutions and policymakers who want to navigate the transformation of fintech by providing a comprehensive analysis of the financial implications of such acquisitions. The study reveals that fintech M&amp;A demands proper due diligence, strong integration planning, and early stakeholder commitment to maximise long-term financial benefits while avoiding risks. Further research directions include exploring industry-specific </w:t>
      </w:r>
      <w:r w:rsidRPr="00450FB4">
        <w:rPr>
          <w:rFonts w:eastAsia="Calibri"/>
          <w:kern w:val="2"/>
          <w14:ligatures w14:val="standardContextual"/>
        </w:rPr>
        <w:lastRenderedPageBreak/>
        <w:t>impacts and assessing the influence of macroeconomic conditions on post-acquisition performance.</w:t>
      </w:r>
    </w:p>
    <w:p w14:paraId="7B957F8A" w14:textId="77777777" w:rsidR="00301753" w:rsidRPr="00450FB4" w:rsidRDefault="00D67080" w:rsidP="00B76E26">
      <w:pPr>
        <w:widowControl/>
        <w:autoSpaceDE/>
        <w:autoSpaceDN/>
        <w:spacing w:after="160"/>
        <w:jc w:val="both"/>
        <w:rPr>
          <w:rFonts w:eastAsia="Calibri"/>
          <w:kern w:val="2"/>
          <w14:ligatures w14:val="standardContextual"/>
        </w:rPr>
      </w:pPr>
      <w:r w:rsidRPr="00450FB4">
        <w:rPr>
          <w:rFonts w:eastAsia="Calibri"/>
          <w:b/>
          <w:bCs/>
          <w:kern w:val="2"/>
          <w14:ligatures w14:val="standardContextual"/>
        </w:rPr>
        <w:t>Keywords</w:t>
      </w:r>
      <w:r w:rsidR="00A95558" w:rsidRPr="00450FB4">
        <w:rPr>
          <w:rFonts w:eastAsia="Calibri"/>
          <w:b/>
          <w:bCs/>
          <w:kern w:val="2"/>
          <w14:ligatures w14:val="standardContextual"/>
        </w:rPr>
        <w:t xml:space="preserve">: </w:t>
      </w:r>
      <w:r w:rsidR="00A95558" w:rsidRPr="00450FB4">
        <w:rPr>
          <w:rFonts w:eastAsia="Calibri"/>
          <w:kern w:val="2"/>
          <w14:ligatures w14:val="standardContextual"/>
        </w:rPr>
        <w:t>Indian Financial Market, Post-Merger Integration, Econometric Analysis, Fixed Effect Panel Regression, Generalised Method of Moments (GMM), Financial Institutions, Market Valuation, Operational Synergies, Strategic Alignment</w:t>
      </w:r>
    </w:p>
    <w:p w14:paraId="314AC1AD" w14:textId="77777777" w:rsidR="00A95558" w:rsidRPr="00450FB4" w:rsidRDefault="00A95558" w:rsidP="00B76E26">
      <w:pPr>
        <w:widowControl/>
        <w:autoSpaceDE/>
        <w:autoSpaceDN/>
        <w:spacing w:after="160"/>
        <w:jc w:val="both"/>
        <w:rPr>
          <w:rFonts w:eastAsia="Calibri"/>
          <w:b/>
          <w:bCs/>
          <w:kern w:val="2"/>
          <w14:ligatures w14:val="standardContextual"/>
        </w:rPr>
      </w:pPr>
    </w:p>
    <w:p w14:paraId="1BF4DD18" w14:textId="77777777" w:rsidR="00A95558" w:rsidRPr="00450FB4" w:rsidRDefault="00D67080" w:rsidP="00A95558">
      <w:pPr>
        <w:widowControl/>
        <w:numPr>
          <w:ilvl w:val="0"/>
          <w:numId w:val="20"/>
        </w:numPr>
        <w:tabs>
          <w:tab w:val="left" w:pos="284"/>
        </w:tabs>
        <w:suppressAutoHyphens/>
        <w:autoSpaceDE/>
        <w:autoSpaceDN/>
        <w:spacing w:after="160" w:line="480" w:lineRule="auto"/>
        <w:ind w:left="0" w:firstLine="0"/>
        <w:jc w:val="both"/>
        <w:rPr>
          <w:b/>
          <w:bCs/>
          <w:color w:val="000000"/>
          <w:kern w:val="1"/>
          <w:sz w:val="24"/>
          <w:szCs w:val="24"/>
          <w:lang w:eastAsia="ar-SA"/>
        </w:rPr>
      </w:pPr>
      <w:r w:rsidRPr="00450FB4">
        <w:rPr>
          <w:b/>
          <w:bCs/>
          <w:color w:val="000000"/>
          <w:kern w:val="1"/>
          <w:sz w:val="24"/>
          <w:szCs w:val="24"/>
          <w:lang w:eastAsia="ar-SA"/>
        </w:rPr>
        <w:t xml:space="preserve">Introduction </w:t>
      </w:r>
    </w:p>
    <w:p w14:paraId="1BD2B3FE"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Fintech is an abbreviation for financial technology and employs innovative digital solutions and technology to develop and simplify the provision of financial products. This is done through sophisticated software, algorithms, and platforms that enable efficient, easy-to-use, and available financial services like mobile payments, internet lending, blockchain, or robo-advisors. The fintech market involves entities providing full-service finance via web-based technologies that automate insurance processes</w:t>
      </w:r>
      <w:r w:rsidR="00240B98" w:rsidRPr="00450FB4">
        <w:rPr>
          <w:bCs/>
          <w:color w:val="000000"/>
          <w:kern w:val="1"/>
          <w:sz w:val="24"/>
          <w:szCs w:val="24"/>
          <w:lang w:eastAsia="ar-SA"/>
        </w:rPr>
        <w:t>,</w:t>
      </w:r>
      <w:r w:rsidRPr="00450FB4">
        <w:rPr>
          <w:bCs/>
          <w:color w:val="000000"/>
          <w:kern w:val="1"/>
          <w:sz w:val="24"/>
          <w:szCs w:val="24"/>
          <w:lang w:eastAsia="ar-SA"/>
        </w:rPr>
        <w:t xml:space="preserve"> trading, and banking, among</w:t>
      </w:r>
      <w:r w:rsidR="00240B98" w:rsidRPr="00450FB4">
        <w:rPr>
          <w:bCs/>
          <w:color w:val="000000"/>
          <w:kern w:val="1"/>
          <w:sz w:val="24"/>
          <w:szCs w:val="24"/>
          <w:lang w:eastAsia="ar-SA"/>
        </w:rPr>
        <w:t>st</w:t>
      </w:r>
      <w:r w:rsidRPr="00450FB4">
        <w:rPr>
          <w:bCs/>
          <w:color w:val="000000"/>
          <w:kern w:val="1"/>
          <w:sz w:val="24"/>
          <w:szCs w:val="24"/>
          <w:lang w:eastAsia="ar-SA"/>
        </w:rPr>
        <w:t xml:space="preserve"> others. During the early stage of fintech, startups focused on improving the activities of the financial sector, but in recent times, they have moved towards challenging mainstream offerings. The major objective of fintech is to undermine traditional financial systems using big data analytics, artificial intelligence (AI), machine learning (ML), and blockchain technology to enable faster transactions, as well as enhanced safety features for clients at reduced cost. One area in which fintech has made a significant difference is by bringing about inclusion in terms of finance, where it has turned out to be more effective at serving those sections of the population who are either forgotten or deliberately left out (Hornuf et al., 2021; Puschmann, 2017; Salerno et al., 2022). </w:t>
      </w:r>
    </w:p>
    <w:p w14:paraId="7D4FDBAE" w14:textId="77777777" w:rsidR="00A95558" w:rsidRPr="00450FB4" w:rsidRDefault="00A95558" w:rsidP="00A95558">
      <w:pPr>
        <w:widowControl/>
        <w:suppressAutoHyphens/>
        <w:autoSpaceDE/>
        <w:autoSpaceDN/>
        <w:jc w:val="both"/>
        <w:rPr>
          <w:bCs/>
          <w:color w:val="000000"/>
          <w:kern w:val="1"/>
          <w:sz w:val="24"/>
          <w:szCs w:val="24"/>
          <w:lang w:eastAsia="ar-SA"/>
        </w:rPr>
      </w:pPr>
    </w:p>
    <w:p w14:paraId="7BAB9C31" w14:textId="77777777" w:rsidR="00A95558" w:rsidRPr="00450FB4" w:rsidRDefault="00D67080" w:rsidP="00A95558">
      <w:pPr>
        <w:widowControl/>
        <w:suppressAutoHyphens/>
        <w:autoSpaceDE/>
        <w:autoSpaceDN/>
        <w:jc w:val="both"/>
        <w:rPr>
          <w:bCs/>
          <w:color w:val="000000"/>
          <w:kern w:val="1"/>
          <w:sz w:val="24"/>
          <w:szCs w:val="24"/>
          <w:lang w:eastAsia="ar-SA"/>
        </w:rPr>
      </w:pPr>
      <w:bookmarkStart w:id="4" w:name="docs-internal-guid-f4508850-7fff-39b0-8c"/>
      <w:bookmarkEnd w:id="4"/>
      <w:r w:rsidRPr="00450FB4">
        <w:rPr>
          <w:bCs/>
          <w:color w:val="000000"/>
          <w:kern w:val="1"/>
          <w:sz w:val="24"/>
          <w:szCs w:val="24"/>
          <w:lang w:eastAsia="ar-SA"/>
        </w:rPr>
        <w:t>In the wake of the financial crisis of 2008, the financial services industry underwent massive changes that were driven by the introduction and implementation of new regulations to prevent future crises. Besides, this phase featured rapid advancements in finance, such as digital banking, mobile payments, and blockchain technology. This has altered the terrain, leading to a more efficient, secure, and accessible environment in financial service delivery. Therefore, it underscores how both regulatory evolution and technological advancements have, over time, redefined the market conduct of business (Andrikopoulos &amp; Kriklani, 2013; Gomber et al., 2017; Hughes et al., 2022).</w:t>
      </w:r>
    </w:p>
    <w:p w14:paraId="0193F8EB" w14:textId="77777777" w:rsidR="00A95558" w:rsidRPr="00450FB4" w:rsidRDefault="00A95558" w:rsidP="00A95558">
      <w:pPr>
        <w:widowControl/>
        <w:suppressAutoHyphens/>
        <w:autoSpaceDE/>
        <w:autoSpaceDN/>
        <w:jc w:val="both"/>
        <w:rPr>
          <w:bCs/>
          <w:color w:val="000000"/>
          <w:kern w:val="1"/>
          <w:sz w:val="24"/>
          <w:szCs w:val="24"/>
          <w:lang w:eastAsia="ar-SA"/>
        </w:rPr>
      </w:pPr>
      <w:bookmarkStart w:id="5" w:name="docs-internal-guid-eed0a29e-7fff-76b3-a2"/>
      <w:bookmarkEnd w:id="5"/>
    </w:p>
    <w:p w14:paraId="24C0FF41"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 xml:space="preserve">One major trend in fintech is the acquisition by buyers seeking to expand into new areas and adopt new technologies while lowering costs and enhancing operational efficiencies. Moreover, these M&amp;As are carried out to increase </w:t>
      </w:r>
      <w:r w:rsidRPr="00450FB4">
        <w:rPr>
          <w:bCs/>
          <w:color w:val="000000"/>
          <w:kern w:val="1"/>
          <w:sz w:val="24"/>
          <w:szCs w:val="24"/>
          <w:lang w:eastAsia="ar-SA"/>
        </w:rPr>
        <w:lastRenderedPageBreak/>
        <w:t>profitability as well as improve overall performance and enhance stock prices, thus improving the operating performance or market position (Liaw et al., 2019). Strategic alliances or purchasing competitors through M&amp;A’s are common strategies in the fintech area to achieve long-term growth, reduce competition, and enhance access to capital</w:t>
      </w:r>
      <w:r w:rsidRPr="00450FB4">
        <w:rPr>
          <w:color w:val="000000"/>
          <w:kern w:val="1"/>
          <w:sz w:val="24"/>
          <w:szCs w:val="24"/>
          <w:lang w:eastAsia="ar-SA"/>
        </w:rPr>
        <w:t xml:space="preserve"> (Ang &amp; Cheng, 2006; Austin &amp; Dunham, 2022; Chen et al., 2021; Dranev et al., 2019; Kohers &amp; Kohers, 2000)</w:t>
      </w:r>
      <w:r w:rsidRPr="00450FB4">
        <w:rPr>
          <w:bCs/>
          <w:color w:val="000000"/>
          <w:kern w:val="1"/>
          <w:sz w:val="24"/>
          <w:szCs w:val="24"/>
          <w:lang w:eastAsia="ar-SA"/>
        </w:rPr>
        <w:t>.</w:t>
      </w:r>
    </w:p>
    <w:p w14:paraId="1B0D16B7" w14:textId="77777777" w:rsidR="00A95558" w:rsidRPr="00450FB4" w:rsidRDefault="00A95558" w:rsidP="00A95558">
      <w:pPr>
        <w:widowControl/>
        <w:suppressAutoHyphens/>
        <w:autoSpaceDE/>
        <w:autoSpaceDN/>
        <w:jc w:val="both"/>
        <w:rPr>
          <w:bCs/>
          <w:color w:val="000000"/>
          <w:kern w:val="1"/>
          <w:sz w:val="24"/>
          <w:szCs w:val="24"/>
          <w:lang w:eastAsia="ar-SA"/>
        </w:rPr>
      </w:pPr>
    </w:p>
    <w:p w14:paraId="602D2F00" w14:textId="77777777" w:rsidR="00A95558" w:rsidRPr="00450FB4" w:rsidRDefault="00D67080" w:rsidP="00A95558">
      <w:pPr>
        <w:widowControl/>
        <w:tabs>
          <w:tab w:val="left" w:pos="426"/>
        </w:tabs>
        <w:suppressAutoHyphens/>
        <w:autoSpaceDE/>
        <w:autoSpaceDN/>
        <w:jc w:val="both"/>
        <w:rPr>
          <w:b/>
          <w:i/>
          <w:iCs/>
          <w:color w:val="000000"/>
          <w:kern w:val="1"/>
          <w:sz w:val="24"/>
          <w:szCs w:val="24"/>
          <w:lang w:eastAsia="ar-SA"/>
        </w:rPr>
      </w:pPr>
      <w:r w:rsidRPr="00450FB4">
        <w:rPr>
          <w:b/>
          <w:i/>
          <w:iCs/>
          <w:color w:val="000000"/>
          <w:kern w:val="1"/>
          <w:sz w:val="24"/>
          <w:szCs w:val="24"/>
          <w:lang w:eastAsia="ar-SA"/>
        </w:rPr>
        <w:t>1.1 Motivation and contribution of the study</w:t>
      </w:r>
    </w:p>
    <w:p w14:paraId="40710441" w14:textId="77777777" w:rsidR="00A95558" w:rsidRPr="00450FB4" w:rsidRDefault="00D67080" w:rsidP="00A95558">
      <w:pPr>
        <w:widowControl/>
        <w:suppressAutoHyphens/>
        <w:autoSpaceDE/>
        <w:autoSpaceDN/>
        <w:jc w:val="both"/>
        <w:rPr>
          <w:kern w:val="1"/>
          <w:sz w:val="24"/>
          <w:szCs w:val="24"/>
          <w:lang w:eastAsia="ar-SA"/>
        </w:rPr>
      </w:pPr>
      <w:bookmarkStart w:id="6" w:name="docs-internal-guid-88e7ee28-7fff-4d7d-71"/>
      <w:bookmarkEnd w:id="6"/>
      <w:r w:rsidRPr="00450FB4">
        <w:rPr>
          <w:bCs/>
          <w:color w:val="000000"/>
          <w:kern w:val="1"/>
          <w:sz w:val="24"/>
          <w:szCs w:val="24"/>
          <w:lang w:eastAsia="ar-SA"/>
        </w:rPr>
        <w:t xml:space="preserve">Fintech, therefore, emerges as the central focus of this study, and hence, the primary objective of the study is the overall assessment of the long-term consequences of fintech acquisition. </w:t>
      </w:r>
      <w:r w:rsidRPr="00450FB4">
        <w:rPr>
          <w:color w:val="000000"/>
          <w:kern w:val="1"/>
          <w:sz w:val="24"/>
          <w:szCs w:val="24"/>
          <w:lang w:eastAsia="ar-SA"/>
        </w:rPr>
        <w:t xml:space="preserve">The paper provides evidence regarding the impact of fintech acquisitions on the financial performance of acquiring firms in India. The study aims to highlight the indicators that characterise the company's efficiency, which include return on assets (ROA), net profit margin (NPM), the average share price (ASP), current ratio (CR), and financial leverage (FL). The analysis of fintech acquisition provides knowledge regarding the strategic ramifications and consequences of strategic combinations. It is understood that due to these acquisitions, the operational efficiency is affected, and hence, this study examines the impact of fintech acquisition on market valuation, liquidity, and leverage of acquiring firms. </w:t>
      </w:r>
      <w:r w:rsidRPr="00450FB4">
        <w:rPr>
          <w:kern w:val="1"/>
          <w:sz w:val="24"/>
          <w:szCs w:val="24"/>
          <w:lang w:eastAsia="ar-SA"/>
        </w:rPr>
        <w:t>In a recent study by Akhtar and Nosheen (2022), conducted for 81 deals across the globe, the author observed a significant positive impact of fintech and bank M&amp;As on the operating performance, liquidity, and financial leverage but a negative impact on the market performance of banks in the long-run. In contrast to numerous studies examining M&amp;A outcomes across different industries, research on fintech acquisition in the Indian context is scarce. Therefore, this study investigates the long-term impact of fintech acquisitions on acquiring firms in India, analysing a sample of 155 acquisitions from 2010 to 2023. This study will be of great benefit to both academia and industry in understanding issues and practical uses in decision-making regarding fintech acquisition.</w:t>
      </w:r>
    </w:p>
    <w:p w14:paraId="4ABD0D53" w14:textId="77777777" w:rsidR="00A95558" w:rsidRPr="00450FB4" w:rsidRDefault="00A95558" w:rsidP="00A95558">
      <w:pPr>
        <w:widowControl/>
        <w:suppressAutoHyphens/>
        <w:autoSpaceDE/>
        <w:autoSpaceDN/>
        <w:jc w:val="both"/>
        <w:rPr>
          <w:kern w:val="1"/>
          <w:sz w:val="24"/>
          <w:szCs w:val="24"/>
          <w:lang w:eastAsia="ar-SA"/>
        </w:rPr>
      </w:pPr>
    </w:p>
    <w:p w14:paraId="51B50F94" w14:textId="77777777" w:rsidR="00A95558" w:rsidRPr="00450FB4" w:rsidRDefault="00D67080" w:rsidP="00A95558">
      <w:pPr>
        <w:widowControl/>
        <w:numPr>
          <w:ilvl w:val="0"/>
          <w:numId w:val="20"/>
        </w:numPr>
        <w:tabs>
          <w:tab w:val="left" w:pos="284"/>
        </w:tabs>
        <w:suppressAutoHyphens/>
        <w:autoSpaceDE/>
        <w:autoSpaceDN/>
        <w:spacing w:before="240" w:after="160" w:line="480" w:lineRule="auto"/>
        <w:ind w:left="0" w:firstLine="0"/>
        <w:jc w:val="both"/>
        <w:rPr>
          <w:b/>
          <w:color w:val="000000"/>
          <w:kern w:val="1"/>
          <w:sz w:val="24"/>
          <w:szCs w:val="24"/>
          <w:lang w:eastAsia="ar-SA"/>
        </w:rPr>
      </w:pPr>
      <w:r w:rsidRPr="00450FB4">
        <w:rPr>
          <w:b/>
          <w:color w:val="000000"/>
          <w:kern w:val="1"/>
          <w:sz w:val="24"/>
          <w:szCs w:val="24"/>
          <w:lang w:eastAsia="ar-SA"/>
        </w:rPr>
        <w:t xml:space="preserve">Literature Review </w:t>
      </w:r>
    </w:p>
    <w:p w14:paraId="2A238638"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b/>
          <w:i/>
          <w:iCs/>
          <w:color w:val="000000"/>
          <w:kern w:val="1"/>
          <w:sz w:val="24"/>
          <w:szCs w:val="24"/>
          <w:lang w:eastAsia="ar-SA"/>
        </w:rPr>
        <w:t>2.1 Evolution of the Fintech industry with special reference to India</w:t>
      </w:r>
    </w:p>
    <w:p w14:paraId="2FE0E9F0" w14:textId="77777777" w:rsidR="00A95558" w:rsidRPr="00450FB4" w:rsidRDefault="00D67080" w:rsidP="00A95558">
      <w:pPr>
        <w:widowControl/>
        <w:shd w:val="clear" w:color="auto" w:fill="FFFFFF"/>
        <w:suppressAutoHyphens/>
        <w:autoSpaceDE/>
        <w:autoSpaceDN/>
        <w:spacing w:after="158"/>
        <w:jc w:val="both"/>
        <w:rPr>
          <w:color w:val="000000"/>
          <w:kern w:val="1"/>
          <w:sz w:val="24"/>
          <w:szCs w:val="24"/>
          <w:lang w:eastAsia="ar-SA"/>
        </w:rPr>
      </w:pPr>
      <w:r w:rsidRPr="00450FB4">
        <w:rPr>
          <w:color w:val="000000"/>
          <w:kern w:val="1"/>
          <w:sz w:val="24"/>
          <w:szCs w:val="24"/>
          <w:lang w:eastAsia="ar-SA"/>
        </w:rPr>
        <w:t xml:space="preserve">Fintech, short for "financial technology," involves the innovative application of technology to improve and simplify financial services and processes. Its primary goal is to make financial activities more efficient, accessible, and user-friendly through technological advancements (Schueffel, 2017a; Zavolokina et al., 2016b). </w:t>
      </w:r>
    </w:p>
    <w:p w14:paraId="627B5CA0" w14:textId="77777777" w:rsidR="00A95558" w:rsidRPr="00450FB4" w:rsidRDefault="00D67080" w:rsidP="00A95558">
      <w:pPr>
        <w:widowControl/>
        <w:shd w:val="clear" w:color="auto" w:fill="FFFFFF"/>
        <w:suppressAutoHyphens/>
        <w:autoSpaceDE/>
        <w:autoSpaceDN/>
        <w:spacing w:after="158"/>
        <w:jc w:val="both"/>
        <w:rPr>
          <w:b/>
          <w:color w:val="000000"/>
          <w:kern w:val="1"/>
          <w:sz w:val="24"/>
          <w:szCs w:val="24"/>
          <w:u w:val="single"/>
          <w:lang w:eastAsia="ar-SA"/>
        </w:rPr>
      </w:pPr>
      <w:r w:rsidRPr="00450FB4">
        <w:rPr>
          <w:color w:val="000000"/>
          <w:kern w:val="1"/>
          <w:sz w:val="24"/>
          <w:szCs w:val="24"/>
          <w:lang w:eastAsia="ar-SA"/>
        </w:rPr>
        <w:lastRenderedPageBreak/>
        <w:t>The 'fintech' term is a combination of finance and technology, aiming to provide solutions for both banking and non-banking sectors. The larger aim of fintech was to aim at the future need for financial systems for high efficiency, operational economy, energy, and resilience ((Schueffel, 2017; Zavolokina et al., 2016). The finance industry's digital evolution emphasises faster information processing and expanded connectivity. This shift towards Digital Finance prioritises innovative business models and products introduced by FinTech companies (Gomber et al., 2017), as summarised in Figure 1.</w:t>
      </w:r>
    </w:p>
    <w:p w14:paraId="319D480F" w14:textId="77777777" w:rsidR="00A95558" w:rsidRPr="00450FB4" w:rsidRDefault="00D67080" w:rsidP="00A95558">
      <w:pPr>
        <w:widowControl/>
        <w:suppressAutoHyphens/>
        <w:autoSpaceDE/>
        <w:autoSpaceDN/>
        <w:jc w:val="center"/>
        <w:rPr>
          <w:b/>
          <w:color w:val="000000"/>
          <w:kern w:val="1"/>
          <w:sz w:val="24"/>
          <w:szCs w:val="24"/>
          <w:lang w:eastAsia="ar-SA"/>
        </w:rPr>
      </w:pPr>
      <w:r w:rsidRPr="00450FB4">
        <w:rPr>
          <w:b/>
          <w:color w:val="000000"/>
          <w:kern w:val="1"/>
          <w:sz w:val="24"/>
          <w:szCs w:val="24"/>
          <w:lang w:eastAsia="ar-SA"/>
        </w:rPr>
        <w:t>Figure 1: Digital Finance Framework</w:t>
      </w:r>
    </w:p>
    <w:tbl>
      <w:tblPr>
        <w:tblStyle w:val="TableGrid1"/>
        <w:tblW w:w="500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3397"/>
        <w:gridCol w:w="4317"/>
      </w:tblGrid>
      <w:tr w:rsidR="00161788" w:rsidRPr="00450FB4" w14:paraId="58FF4966" w14:textId="77777777" w:rsidTr="000C7E69">
        <w:trPr>
          <w:trHeight w:val="510"/>
        </w:trPr>
        <w:tc>
          <w:tcPr>
            <w:tcW w:w="2202" w:type="pct"/>
          </w:tcPr>
          <w:p w14:paraId="79E22A6F" w14:textId="77777777" w:rsidR="00A95558" w:rsidRPr="00450FB4" w:rsidRDefault="00D67080" w:rsidP="00240B98">
            <w:pPr>
              <w:suppressAutoHyphens/>
              <w:spacing w:line="276" w:lineRule="auto"/>
              <w:rPr>
                <w:b/>
                <w:bCs/>
                <w:color w:val="000000"/>
                <w:kern w:val="1"/>
                <w:lang w:eastAsia="ar-SA"/>
              </w:rPr>
            </w:pPr>
            <w:r w:rsidRPr="00450FB4">
              <w:rPr>
                <w:b/>
                <w:bCs/>
                <w:color w:val="000000"/>
                <w:kern w:val="1"/>
                <w:lang w:eastAsia="ar-SA"/>
              </w:rPr>
              <w:t>1. TECHNOLOGY</w:t>
            </w:r>
          </w:p>
        </w:tc>
        <w:tc>
          <w:tcPr>
            <w:tcW w:w="2798" w:type="pct"/>
          </w:tcPr>
          <w:p w14:paraId="7482CCFF" w14:textId="77777777" w:rsidR="00A95558" w:rsidRPr="00450FB4" w:rsidRDefault="00D67080" w:rsidP="00240B98">
            <w:pPr>
              <w:suppressAutoHyphens/>
              <w:spacing w:line="276" w:lineRule="auto"/>
              <w:rPr>
                <w:b/>
                <w:bCs/>
                <w:color w:val="000000"/>
                <w:kern w:val="1"/>
                <w:lang w:eastAsia="ar-SA"/>
              </w:rPr>
            </w:pPr>
            <w:r w:rsidRPr="00450FB4">
              <w:rPr>
                <w:b/>
                <w:bCs/>
                <w:color w:val="000000"/>
                <w:kern w:val="1"/>
                <w:lang w:eastAsia="ar-SA"/>
              </w:rPr>
              <w:t>2. FINANCE BUSINESS SERVICE</w:t>
            </w:r>
          </w:p>
        </w:tc>
      </w:tr>
      <w:tr w:rsidR="00161788" w:rsidRPr="00450FB4" w14:paraId="35CDC224" w14:textId="77777777" w:rsidTr="000C7E69">
        <w:trPr>
          <w:trHeight w:val="510"/>
        </w:trPr>
        <w:tc>
          <w:tcPr>
            <w:tcW w:w="2202" w:type="pct"/>
          </w:tcPr>
          <w:p w14:paraId="54AFA425" w14:textId="77777777" w:rsidR="00A95558" w:rsidRPr="00450FB4" w:rsidRDefault="00D67080" w:rsidP="00240B98">
            <w:pPr>
              <w:numPr>
                <w:ilvl w:val="0"/>
                <w:numId w:val="32"/>
              </w:numPr>
              <w:suppressAutoHyphens/>
              <w:spacing w:line="276" w:lineRule="auto"/>
              <w:rPr>
                <w:color w:val="000000"/>
                <w:kern w:val="1"/>
                <w:lang w:eastAsia="ar-SA"/>
              </w:rPr>
            </w:pPr>
            <w:r w:rsidRPr="00450FB4">
              <w:rPr>
                <w:color w:val="000000"/>
                <w:kern w:val="1"/>
                <w:lang w:eastAsia="ar-SA"/>
              </w:rPr>
              <w:t>BLOCKCHAIN</w:t>
            </w:r>
          </w:p>
        </w:tc>
        <w:tc>
          <w:tcPr>
            <w:tcW w:w="2798" w:type="pct"/>
          </w:tcPr>
          <w:p w14:paraId="71391454"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DIGITAL FINANCING,</w:t>
            </w:r>
          </w:p>
        </w:tc>
      </w:tr>
      <w:tr w:rsidR="00161788" w:rsidRPr="00450FB4" w14:paraId="5039E894" w14:textId="77777777" w:rsidTr="000C7E69">
        <w:trPr>
          <w:trHeight w:val="510"/>
        </w:trPr>
        <w:tc>
          <w:tcPr>
            <w:tcW w:w="2202" w:type="pct"/>
          </w:tcPr>
          <w:p w14:paraId="319DC103" w14:textId="77777777" w:rsidR="00A95558" w:rsidRPr="00450FB4" w:rsidRDefault="00D67080" w:rsidP="00240B98">
            <w:pPr>
              <w:numPr>
                <w:ilvl w:val="0"/>
                <w:numId w:val="32"/>
              </w:numPr>
              <w:suppressAutoHyphens/>
              <w:spacing w:line="276" w:lineRule="auto"/>
              <w:rPr>
                <w:color w:val="000000"/>
                <w:kern w:val="1"/>
                <w:lang w:eastAsia="ar-SA"/>
              </w:rPr>
            </w:pPr>
            <w:r w:rsidRPr="00450FB4">
              <w:rPr>
                <w:color w:val="000000"/>
                <w:kern w:val="1"/>
                <w:lang w:eastAsia="ar-SA"/>
              </w:rPr>
              <w:t>BIG DATA ANALYTICS</w:t>
            </w:r>
          </w:p>
        </w:tc>
        <w:tc>
          <w:tcPr>
            <w:tcW w:w="2798" w:type="pct"/>
          </w:tcPr>
          <w:p w14:paraId="0C025314"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INVESTMENT</w:t>
            </w:r>
          </w:p>
        </w:tc>
      </w:tr>
      <w:tr w:rsidR="00161788" w:rsidRPr="00450FB4" w14:paraId="060AF476" w14:textId="77777777" w:rsidTr="000C7E69">
        <w:trPr>
          <w:trHeight w:val="510"/>
        </w:trPr>
        <w:tc>
          <w:tcPr>
            <w:tcW w:w="2202" w:type="pct"/>
          </w:tcPr>
          <w:p w14:paraId="589C4616" w14:textId="77777777" w:rsidR="00A95558" w:rsidRPr="00450FB4" w:rsidRDefault="00D67080" w:rsidP="00240B98">
            <w:pPr>
              <w:numPr>
                <w:ilvl w:val="0"/>
                <w:numId w:val="32"/>
              </w:numPr>
              <w:suppressAutoHyphens/>
              <w:spacing w:line="276" w:lineRule="auto"/>
              <w:rPr>
                <w:color w:val="000000"/>
                <w:kern w:val="1"/>
                <w:lang w:eastAsia="ar-SA"/>
              </w:rPr>
            </w:pPr>
            <w:r w:rsidRPr="00450FB4">
              <w:rPr>
                <w:color w:val="000000"/>
                <w:kern w:val="1"/>
                <w:lang w:eastAsia="ar-SA"/>
              </w:rPr>
              <w:t>SOCIAL NETWORKS</w:t>
            </w:r>
          </w:p>
        </w:tc>
        <w:tc>
          <w:tcPr>
            <w:tcW w:w="2798" w:type="pct"/>
          </w:tcPr>
          <w:p w14:paraId="7E39AF67"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PAYMENTS</w:t>
            </w:r>
          </w:p>
        </w:tc>
      </w:tr>
      <w:tr w:rsidR="00161788" w:rsidRPr="00450FB4" w14:paraId="18B31E51" w14:textId="77777777" w:rsidTr="000C7E69">
        <w:trPr>
          <w:trHeight w:val="510"/>
        </w:trPr>
        <w:tc>
          <w:tcPr>
            <w:tcW w:w="2202" w:type="pct"/>
          </w:tcPr>
          <w:p w14:paraId="6D511806" w14:textId="77777777" w:rsidR="00A95558" w:rsidRPr="00450FB4" w:rsidRDefault="00D67080" w:rsidP="00240B98">
            <w:pPr>
              <w:numPr>
                <w:ilvl w:val="0"/>
                <w:numId w:val="32"/>
              </w:numPr>
              <w:suppressAutoHyphens/>
              <w:spacing w:line="276" w:lineRule="auto"/>
              <w:rPr>
                <w:color w:val="000000"/>
                <w:kern w:val="1"/>
                <w:lang w:eastAsia="ar-SA"/>
              </w:rPr>
            </w:pPr>
            <w:r w:rsidRPr="00450FB4">
              <w:rPr>
                <w:color w:val="000000"/>
                <w:kern w:val="1"/>
                <w:lang w:eastAsia="ar-SA"/>
              </w:rPr>
              <w:t>NFC</w:t>
            </w:r>
          </w:p>
        </w:tc>
        <w:tc>
          <w:tcPr>
            <w:tcW w:w="2798" w:type="pct"/>
          </w:tcPr>
          <w:p w14:paraId="5B13911E"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INSURANCES</w:t>
            </w:r>
          </w:p>
        </w:tc>
      </w:tr>
      <w:tr w:rsidR="00161788" w:rsidRPr="00450FB4" w14:paraId="7EB5C2CC" w14:textId="77777777" w:rsidTr="000C7E69">
        <w:trPr>
          <w:trHeight w:val="510"/>
        </w:trPr>
        <w:tc>
          <w:tcPr>
            <w:tcW w:w="2202" w:type="pct"/>
          </w:tcPr>
          <w:p w14:paraId="2A9ECAEA" w14:textId="77777777" w:rsidR="00A95558" w:rsidRPr="00450FB4" w:rsidRDefault="00D67080" w:rsidP="00240B98">
            <w:pPr>
              <w:suppressAutoHyphens/>
              <w:spacing w:line="276" w:lineRule="auto"/>
              <w:rPr>
                <w:b/>
                <w:bCs/>
                <w:color w:val="000000"/>
                <w:kern w:val="1"/>
                <w:lang w:eastAsia="ar-SA"/>
              </w:rPr>
            </w:pPr>
            <w:r w:rsidRPr="00450FB4">
              <w:rPr>
                <w:b/>
                <w:bCs/>
                <w:color w:val="000000"/>
                <w:kern w:val="1"/>
                <w:lang w:eastAsia="ar-SA"/>
              </w:rPr>
              <w:t>3. FINANCIAL INSTITUTION’S</w:t>
            </w:r>
          </w:p>
        </w:tc>
        <w:tc>
          <w:tcPr>
            <w:tcW w:w="2798" w:type="pct"/>
          </w:tcPr>
          <w:p w14:paraId="28DB4368" w14:textId="77777777" w:rsidR="00A95558" w:rsidRPr="00450FB4" w:rsidRDefault="00D67080" w:rsidP="00240B98">
            <w:pPr>
              <w:suppressAutoHyphens/>
              <w:spacing w:line="276" w:lineRule="auto"/>
              <w:rPr>
                <w:b/>
                <w:bCs/>
                <w:color w:val="000000"/>
                <w:kern w:val="1"/>
                <w:lang w:eastAsia="ar-SA"/>
              </w:rPr>
            </w:pPr>
            <w:r w:rsidRPr="00450FB4">
              <w:rPr>
                <w:b/>
                <w:bCs/>
                <w:color w:val="000000"/>
                <w:kern w:val="1"/>
                <w:lang w:eastAsia="ar-SA"/>
              </w:rPr>
              <w:t>4. FINANCE SERVICES REGULATION’S</w:t>
            </w:r>
          </w:p>
        </w:tc>
      </w:tr>
      <w:tr w:rsidR="00161788" w:rsidRPr="00450FB4" w14:paraId="53C23A3C" w14:textId="77777777" w:rsidTr="000C7E69">
        <w:trPr>
          <w:trHeight w:val="510"/>
        </w:trPr>
        <w:tc>
          <w:tcPr>
            <w:tcW w:w="2202" w:type="pct"/>
          </w:tcPr>
          <w:p w14:paraId="1DFEFA08"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FINTECH COMPANIES</w:t>
            </w:r>
          </w:p>
        </w:tc>
        <w:tc>
          <w:tcPr>
            <w:tcW w:w="2798" w:type="pct"/>
          </w:tcPr>
          <w:p w14:paraId="59CACA5D"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ENHANCEMENT REGULATORY COMPLIANCES</w:t>
            </w:r>
          </w:p>
        </w:tc>
      </w:tr>
      <w:tr w:rsidR="00161788" w:rsidRPr="00450FB4" w14:paraId="230E2D44" w14:textId="77777777" w:rsidTr="000C7E69">
        <w:trPr>
          <w:trHeight w:val="283"/>
        </w:trPr>
        <w:tc>
          <w:tcPr>
            <w:tcW w:w="2202" w:type="pct"/>
          </w:tcPr>
          <w:p w14:paraId="5D40F194" w14:textId="77777777" w:rsidR="00A95558" w:rsidRPr="00450FB4" w:rsidRDefault="00D67080" w:rsidP="00240B98">
            <w:pPr>
              <w:numPr>
                <w:ilvl w:val="0"/>
                <w:numId w:val="33"/>
              </w:numPr>
              <w:suppressAutoHyphens/>
              <w:spacing w:line="276" w:lineRule="auto"/>
              <w:rPr>
                <w:color w:val="000000"/>
                <w:kern w:val="1"/>
                <w:lang w:eastAsia="ar-SA"/>
              </w:rPr>
            </w:pPr>
            <w:r w:rsidRPr="00450FB4">
              <w:rPr>
                <w:color w:val="000000"/>
                <w:kern w:val="1"/>
                <w:lang w:eastAsia="ar-SA"/>
              </w:rPr>
              <w:t>TRADE SERVICE PROVIDERS</w:t>
            </w:r>
          </w:p>
        </w:tc>
        <w:tc>
          <w:tcPr>
            <w:tcW w:w="2798" w:type="pct"/>
          </w:tcPr>
          <w:p w14:paraId="1F80962E" w14:textId="77777777" w:rsidR="00A95558" w:rsidRPr="00450FB4" w:rsidRDefault="00A95558" w:rsidP="00240B98">
            <w:pPr>
              <w:suppressAutoHyphens/>
              <w:spacing w:line="276" w:lineRule="auto"/>
              <w:rPr>
                <w:color w:val="000000"/>
                <w:kern w:val="1"/>
                <w:lang w:eastAsia="ar-SA"/>
              </w:rPr>
            </w:pPr>
          </w:p>
        </w:tc>
      </w:tr>
    </w:tbl>
    <w:p w14:paraId="71EB5946" w14:textId="77777777" w:rsidR="00A95558" w:rsidRPr="00450FB4" w:rsidRDefault="00D67080" w:rsidP="00A95558">
      <w:pPr>
        <w:widowControl/>
        <w:suppressAutoHyphens/>
        <w:autoSpaceDE/>
        <w:autoSpaceDN/>
        <w:rPr>
          <w:color w:val="000000"/>
          <w:kern w:val="1"/>
          <w:sz w:val="24"/>
          <w:szCs w:val="24"/>
          <w:lang w:eastAsia="ar-SA"/>
        </w:rPr>
      </w:pPr>
      <w:r w:rsidRPr="00450FB4">
        <w:rPr>
          <w:i/>
          <w:iCs/>
          <w:color w:val="000000"/>
          <w:kern w:val="1"/>
          <w:sz w:val="24"/>
          <w:szCs w:val="24"/>
          <w:lang w:eastAsia="ar-SA"/>
        </w:rPr>
        <w:t>Note: Figure 1 shows the Digital Finance framework introduced by the fintech companies</w:t>
      </w:r>
    </w:p>
    <w:p w14:paraId="6CCCCEE2" w14:textId="77777777" w:rsidR="00A95558" w:rsidRPr="00450FB4" w:rsidRDefault="00A95558" w:rsidP="00A95558">
      <w:pPr>
        <w:widowControl/>
        <w:suppressAutoHyphens/>
        <w:autoSpaceDE/>
        <w:autoSpaceDN/>
        <w:jc w:val="both"/>
        <w:rPr>
          <w:color w:val="000000"/>
          <w:kern w:val="1"/>
          <w:sz w:val="24"/>
          <w:szCs w:val="24"/>
          <w:lang w:eastAsia="ar-SA"/>
        </w:rPr>
      </w:pPr>
    </w:p>
    <w:p w14:paraId="0829A912" w14:textId="77777777" w:rsidR="00A95558" w:rsidRPr="00450FB4" w:rsidRDefault="00D67080" w:rsidP="00A95558">
      <w:pPr>
        <w:widowControl/>
        <w:shd w:val="clear" w:color="auto" w:fill="FFFFFF"/>
        <w:suppressAutoHyphens/>
        <w:autoSpaceDE/>
        <w:autoSpaceDN/>
        <w:spacing w:before="100" w:after="158"/>
        <w:jc w:val="both"/>
        <w:rPr>
          <w:color w:val="000000"/>
          <w:kern w:val="1"/>
          <w:sz w:val="24"/>
          <w:szCs w:val="24"/>
          <w:lang w:eastAsia="ar-SA"/>
        </w:rPr>
      </w:pPr>
      <w:r w:rsidRPr="00450FB4">
        <w:rPr>
          <w:color w:val="000000"/>
          <w:kern w:val="1"/>
          <w:sz w:val="24"/>
          <w:szCs w:val="24"/>
          <w:lang w:eastAsia="ar-SA"/>
        </w:rPr>
        <w:t>However, an intriguing observation emerges when considering that the concept of 'fintech' has persisted throughout the evolution of information technology, spanning from 1500 to 1860, analog technologies from 1860 to 1960, and digital technology in banking IT from 1960 to 2008, culminating in fintech from 2008 to the present (Alt et al., 2018).</w:t>
      </w:r>
    </w:p>
    <w:p w14:paraId="4147B97B" w14:textId="77777777" w:rsidR="00A95558" w:rsidRPr="00450FB4" w:rsidRDefault="00D67080" w:rsidP="00A95558">
      <w:pPr>
        <w:widowControl/>
        <w:shd w:val="clear" w:color="auto" w:fill="FFFFFF"/>
        <w:suppressAutoHyphens/>
        <w:autoSpaceDE/>
        <w:autoSpaceDN/>
        <w:spacing w:after="158"/>
        <w:jc w:val="both"/>
        <w:rPr>
          <w:color w:val="000000"/>
          <w:kern w:val="1"/>
          <w:sz w:val="24"/>
          <w:szCs w:val="24"/>
          <w:lang w:eastAsia="ar-SA"/>
        </w:rPr>
      </w:pPr>
      <w:r w:rsidRPr="00450FB4">
        <w:rPr>
          <w:color w:val="000000"/>
          <w:kern w:val="1"/>
          <w:sz w:val="24"/>
          <w:szCs w:val="24"/>
          <w:lang w:eastAsia="ar-SA"/>
        </w:rPr>
        <w:t xml:space="preserve">Existing research delineates fintech's progression into distinct phases, denoted as Fintech 1.0 (1866-1967), Fintech 2.0 (1967-2008), and Fintech 3.0 (2008-present), characterised by innovations such as ATM devices, Core Banking Solutions (CBS), and the customisation of financial services. This evolution has disrupted the financial system by altering processes and practices across finance and technology domains (Arora &amp; Madan, 2021; Harris, 2021). Additionally, </w:t>
      </w:r>
      <w:r w:rsidRPr="00450FB4">
        <w:rPr>
          <w:color w:val="000000"/>
          <w:kern w:val="1"/>
          <w:sz w:val="24"/>
          <w:szCs w:val="24"/>
          <w:lang w:eastAsia="ar-SA"/>
        </w:rPr>
        <w:lastRenderedPageBreak/>
        <w:t>studies underscore the imperative for traditional financial institutions to invest in fintech services to mitigate volatility and instability (Chen et al., 2022). Furthermore, (Haddad and Hornuf, 2019) posit that fintech development correlates with economic expansion and a heightened degree of capital formation, akin to the presence of active venture capital.</w:t>
      </w:r>
    </w:p>
    <w:p w14:paraId="77A38862"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bCs/>
          <w:color w:val="000000"/>
          <w:kern w:val="1"/>
          <w:sz w:val="24"/>
          <w:szCs w:val="24"/>
          <w:lang w:eastAsia="ar-SA"/>
        </w:rPr>
        <w:t>India, the third-largest fintech ecosystem, ranks second in transaction volume and contributes 14% to global fintech financing. Key growth drivers for the fintech industry include digital business collaboration, funding, skilled labour, and government initiatives. However, international political volatility, privacy risks, and data distribution challenges remain major obstacles</w:t>
      </w:r>
      <w:r w:rsidRPr="00450FB4">
        <w:rPr>
          <w:color w:val="000000"/>
          <w:kern w:val="1"/>
          <w:sz w:val="24"/>
          <w:szCs w:val="24"/>
          <w:lang w:eastAsia="ar-SA"/>
        </w:rPr>
        <w:t xml:space="preserve"> for the fintech industry (Oberoi &amp; Dharni, 2024)</w:t>
      </w:r>
      <w:r w:rsidRPr="00450FB4">
        <w:rPr>
          <w:bCs/>
          <w:color w:val="000000"/>
          <w:kern w:val="1"/>
          <w:sz w:val="24"/>
          <w:szCs w:val="24"/>
          <w:lang w:eastAsia="ar-SA"/>
        </w:rPr>
        <w:t xml:space="preserve">. </w:t>
      </w:r>
    </w:p>
    <w:p w14:paraId="57B41C99" w14:textId="77777777" w:rsidR="00A95558" w:rsidRPr="00450FB4" w:rsidRDefault="00D67080" w:rsidP="00A95558">
      <w:pPr>
        <w:widowControl/>
        <w:suppressAutoHyphens/>
        <w:autoSpaceDE/>
        <w:autoSpaceDN/>
        <w:spacing w:after="160"/>
        <w:jc w:val="both"/>
        <w:rPr>
          <w:color w:val="000000"/>
          <w:kern w:val="1"/>
          <w:sz w:val="24"/>
          <w:szCs w:val="24"/>
          <w:lang w:eastAsia="ar-SA"/>
        </w:rPr>
      </w:pPr>
      <w:bookmarkStart w:id="7" w:name="docs-internal-guid-50a9b437-7fff-09d5-07"/>
      <w:bookmarkEnd w:id="7"/>
      <w:r w:rsidRPr="00450FB4">
        <w:rPr>
          <w:color w:val="000000"/>
          <w:kern w:val="1"/>
          <w:sz w:val="24"/>
          <w:szCs w:val="24"/>
          <w:lang w:eastAsia="ar-SA"/>
        </w:rPr>
        <w:t xml:space="preserve">The financial services industry is going through a tremendous change. App software technology innovations with a focus on fintech startups are effective in improving customer experiences and service efficiencies. The areas of change identified include operation management and incorporation of the use of social media. These advancements are bringing revolution in the fintech sector and challenging the dominance of traditional sectors (Das, 2019; Gomber et al., 2018a; Liu et al., 2021; Suryono et al., 2020). </w:t>
      </w:r>
    </w:p>
    <w:p w14:paraId="33BA034F" w14:textId="77777777" w:rsidR="00A95558" w:rsidRPr="00450FB4" w:rsidRDefault="00D67080" w:rsidP="00A95558">
      <w:pPr>
        <w:widowControl/>
        <w:suppressAutoHyphens/>
        <w:autoSpaceDE/>
        <w:autoSpaceDN/>
        <w:spacing w:after="160"/>
        <w:jc w:val="both"/>
        <w:rPr>
          <w:color w:val="000000"/>
          <w:kern w:val="1"/>
          <w:sz w:val="24"/>
          <w:szCs w:val="24"/>
          <w:lang w:eastAsia="ar-SA"/>
        </w:rPr>
      </w:pPr>
      <w:bookmarkStart w:id="8" w:name="docs-internal-guid-b563ed5e-7fff-d27f-6b"/>
      <w:bookmarkEnd w:id="8"/>
      <w:r w:rsidRPr="00450FB4">
        <w:rPr>
          <w:color w:val="000000"/>
          <w:kern w:val="1"/>
          <w:sz w:val="24"/>
          <w:szCs w:val="24"/>
          <w:lang w:eastAsia="ar-SA"/>
        </w:rPr>
        <w:t xml:space="preserve">Agility is essential today in the sphere of the financial market, influenced by constant advancements in fintech and other related areas in technological developments (Gomber et al., 2018b).  With the rapid change in business dynamics, firms are now compelled to provide strategic alliances using mergers and acquisitions (Shimizu et al., 2004). These alliances allow firms to capitalise on each other's capabilities, assets, and knowledge for firm survival and profitability. Many large firms find that it is more effective to cooperate with existing firms and buy or merge with fintech companies since the establishment of new financial organisations requires </w:t>
      </w:r>
      <w:r w:rsidR="00240B98" w:rsidRPr="00450FB4">
        <w:rPr>
          <w:color w:val="000000"/>
          <w:kern w:val="1"/>
          <w:sz w:val="24"/>
          <w:szCs w:val="24"/>
          <w:lang w:eastAsia="ar-SA"/>
        </w:rPr>
        <w:t xml:space="preserve">a </w:t>
      </w:r>
      <w:r w:rsidRPr="00450FB4">
        <w:rPr>
          <w:color w:val="000000"/>
          <w:kern w:val="1"/>
          <w:sz w:val="24"/>
          <w:szCs w:val="24"/>
          <w:lang w:eastAsia="ar-SA"/>
        </w:rPr>
        <w:t>longer period. Thus, traditional financial institutions can adapt to new forms of technologies that improve the angles and impacts of service quality on customer experience and service operation effectiveness. This strategic approach accelerates, and that is where innovation is generated, implicating higher profits and lower costs for the realisation of synergy (Bradley et al.,1983). These synergies provide operational, financial, market, and managerial advantages that assist companies in remaining competitive and maintaining market position during the emergence of fintech (Novialdi &amp; Wardhani, 2019). Additionally, strategic alliances can also be very useful in enhancing the environmental sustainability of the financial and banking sector: businesses can combine funding to invest in environmentally friendly technologies and sustainability within the company’s processes and supply chain, thus contributing to global environment objectives (Tao et al., 2022).</w:t>
      </w:r>
    </w:p>
    <w:p w14:paraId="021DAC7E"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b/>
          <w:i/>
          <w:iCs/>
          <w:color w:val="000000"/>
          <w:kern w:val="1"/>
          <w:sz w:val="24"/>
          <w:szCs w:val="24"/>
          <w:lang w:eastAsia="ar-SA"/>
        </w:rPr>
        <w:lastRenderedPageBreak/>
        <w:t>2.2 Theoretical Framework for the Impact of Fintech M&amp;A’s on Acquiring Firms in India</w:t>
      </w:r>
      <w:bookmarkStart w:id="9" w:name="docs-internal-guid-44c4310a-7fff-8ee2-ef"/>
      <w:bookmarkEnd w:id="9"/>
    </w:p>
    <w:p w14:paraId="476F197E"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theoretical framework for examining the impact of fintech acquisitions on the performance of the acquiring firms in the Indian market is described through three major management theories: </w:t>
      </w:r>
    </w:p>
    <w:p w14:paraId="0C31C7B4" w14:textId="77777777" w:rsidR="00A95558" w:rsidRPr="00450FB4" w:rsidRDefault="00D67080" w:rsidP="00240B98">
      <w:pPr>
        <w:widowControl/>
        <w:numPr>
          <w:ilvl w:val="0"/>
          <w:numId w:val="28"/>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 xml:space="preserve">Resource Based Theory; RBV theory </w:t>
      </w:r>
    </w:p>
    <w:p w14:paraId="6CC6EF19" w14:textId="77777777" w:rsidR="00A95558" w:rsidRPr="00450FB4" w:rsidRDefault="00D67080" w:rsidP="00240B98">
      <w:pPr>
        <w:widowControl/>
        <w:numPr>
          <w:ilvl w:val="0"/>
          <w:numId w:val="28"/>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Agency Theory and</w:t>
      </w:r>
    </w:p>
    <w:p w14:paraId="26CF8074" w14:textId="77777777" w:rsidR="00A95558" w:rsidRPr="00450FB4" w:rsidRDefault="00D67080" w:rsidP="00240B98">
      <w:pPr>
        <w:widowControl/>
        <w:numPr>
          <w:ilvl w:val="0"/>
          <w:numId w:val="28"/>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 xml:space="preserve">Transaction Cost Economics (TCE). </w:t>
      </w:r>
    </w:p>
    <w:p w14:paraId="017FAB0D" w14:textId="77777777" w:rsidR="00A95558" w:rsidRPr="00450FB4" w:rsidRDefault="00D67080" w:rsidP="00A95558">
      <w:pPr>
        <w:widowControl/>
        <w:suppressAutoHyphens/>
        <w:autoSpaceDE/>
        <w:autoSpaceDN/>
        <w:spacing w:after="160"/>
        <w:jc w:val="both"/>
        <w:rPr>
          <w:color w:val="000000"/>
          <w:kern w:val="1"/>
          <w:sz w:val="24"/>
          <w:szCs w:val="24"/>
          <w:lang w:eastAsia="ar-SA"/>
        </w:rPr>
      </w:pPr>
      <w:bookmarkStart w:id="10" w:name="docs-internal-guid-82527d45-7fff-2a90-96"/>
      <w:bookmarkEnd w:id="10"/>
      <w:r w:rsidRPr="00450FB4">
        <w:rPr>
          <w:color w:val="000000"/>
          <w:kern w:val="1"/>
          <w:sz w:val="24"/>
          <w:szCs w:val="24"/>
          <w:lang w:eastAsia="ar-SA"/>
        </w:rPr>
        <w:t xml:space="preserve">The Resource-Based View (RBV) provides an appropriate theoretical framework introduced by Barney (1991), followed by Eisenhardt (1985) and Mahoney and Pandian (1992). The theory argues that fintech firms offer unique and valuable resources, such as advanced technological capabilities and innovative financial solutions, which can enhance the competitive advantage and operational performance of acquirers. </w:t>
      </w:r>
    </w:p>
    <w:p w14:paraId="19D1BB16" w14:textId="77777777" w:rsidR="00A95558" w:rsidRPr="00450FB4" w:rsidRDefault="00D67080" w:rsidP="00A95558">
      <w:pPr>
        <w:widowControl/>
        <w:suppressAutoHyphens/>
        <w:autoSpaceDE/>
        <w:autoSpaceDN/>
        <w:jc w:val="both"/>
        <w:rPr>
          <w:color w:val="000000"/>
          <w:kern w:val="1"/>
          <w:sz w:val="24"/>
          <w:szCs w:val="24"/>
          <w:lang w:eastAsia="ar-SA"/>
        </w:rPr>
      </w:pPr>
      <w:bookmarkStart w:id="11" w:name="docs-internal-guid-69a8035c-7fff-94a2-85"/>
      <w:bookmarkEnd w:id="11"/>
      <w:r w:rsidRPr="00450FB4">
        <w:rPr>
          <w:color w:val="000000"/>
          <w:kern w:val="1"/>
          <w:sz w:val="24"/>
          <w:szCs w:val="24"/>
          <w:lang w:eastAsia="ar-SA"/>
        </w:rPr>
        <w:t>Agency theory (Eisenhardt, 1989) and Competitive Strategy (Porter-Millar, 1985) also elaborate on how successful fintech acquisition can align managerial and shareholders' interests and increase market dominance, leading to improved market performance. The Agency Theory addresses aligning interests and guaranteeing value creation amid short-term losses.</w:t>
      </w:r>
    </w:p>
    <w:p w14:paraId="1E02F8A9" w14:textId="77777777" w:rsidR="00A95558" w:rsidRPr="00450FB4" w:rsidRDefault="00A95558" w:rsidP="00A95558">
      <w:pPr>
        <w:widowControl/>
        <w:suppressAutoHyphens/>
        <w:autoSpaceDE/>
        <w:autoSpaceDN/>
        <w:jc w:val="both"/>
        <w:rPr>
          <w:color w:val="000000"/>
          <w:kern w:val="1"/>
          <w:sz w:val="24"/>
          <w:szCs w:val="24"/>
          <w:lang w:eastAsia="ar-SA"/>
        </w:rPr>
      </w:pPr>
    </w:p>
    <w:p w14:paraId="730A3D2D"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Transaction Cost Economics (TCE) (Coase, 2013; Williamson, 1979) highlights the reduction in transaction costs achieved by internalising fintech capabilities, aiding in understanding the decision-making between internal development and external acquisition, considering the transaction costs. </w:t>
      </w:r>
    </w:p>
    <w:p w14:paraId="6AD9DE5E" w14:textId="77777777" w:rsidR="00A95558" w:rsidRPr="00450FB4" w:rsidRDefault="00A95558" w:rsidP="00A95558">
      <w:pPr>
        <w:widowControl/>
        <w:suppressAutoHyphens/>
        <w:autoSpaceDE/>
        <w:autoSpaceDN/>
        <w:spacing w:after="160"/>
        <w:jc w:val="both"/>
        <w:rPr>
          <w:color w:val="000000"/>
          <w:kern w:val="1"/>
          <w:sz w:val="24"/>
          <w:szCs w:val="24"/>
          <w:lang w:eastAsia="ar-SA"/>
        </w:rPr>
      </w:pPr>
      <w:bookmarkStart w:id="12" w:name="docs-internal-guid-7134e639-7fff-0561-39"/>
      <w:bookmarkEnd w:id="12"/>
    </w:p>
    <w:p w14:paraId="4334BDD9"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t>Dynamic Capability theory (Jay Barney, 1991) emphasises enhanced adaptability and innovation potential by integrating fintech firms, which is crucial for thriving in a dynamic market. Additionally, the Financial Synergy Hypothesis suggests that M&amp;A can improve financial metrics by combining complementary financial strengths, thereby enhancing liquidity and financial leverage. Further, the Unified theory of acceptance and use of technology (Venkatesh et al., 2003) underscores the role of fintech acquisitions in driving innovation, leading to better market positioning and efficiency gains.</w:t>
      </w:r>
    </w:p>
    <w:p w14:paraId="596417DB"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 combination, all the presented theories set the stage for comprehending the fintech acquisition phenomenon. The fintech acquisition can greatly improve the total performance of the acquiring firm in India and increase the diversity of the knowledge about the M&amp;A patterns in the fintech segment, defining further </w:t>
      </w:r>
      <w:r w:rsidRPr="00450FB4">
        <w:rPr>
          <w:color w:val="000000"/>
          <w:kern w:val="1"/>
          <w:sz w:val="24"/>
          <w:szCs w:val="24"/>
          <w:lang w:eastAsia="ar-SA"/>
        </w:rPr>
        <w:lastRenderedPageBreak/>
        <w:t xml:space="preserve">strategic courses of action. The fintech acquisition further enhances shareholder value in India’s evolving financial landscape. </w:t>
      </w:r>
    </w:p>
    <w:p w14:paraId="6FF40738" w14:textId="77777777" w:rsidR="00A95558" w:rsidRPr="00450FB4" w:rsidRDefault="00A95558" w:rsidP="00A95558">
      <w:pPr>
        <w:widowControl/>
        <w:suppressAutoHyphens/>
        <w:autoSpaceDE/>
        <w:autoSpaceDN/>
        <w:spacing w:after="160"/>
        <w:jc w:val="both"/>
        <w:rPr>
          <w:i/>
          <w:iCs/>
          <w:color w:val="000000"/>
          <w:kern w:val="1"/>
          <w:sz w:val="24"/>
          <w:szCs w:val="24"/>
          <w:lang w:eastAsia="ar-SA"/>
        </w:rPr>
      </w:pPr>
    </w:p>
    <w:p w14:paraId="7FC5E74D" w14:textId="77777777" w:rsidR="00A95558" w:rsidRPr="00450FB4" w:rsidRDefault="00D67080" w:rsidP="00A95558">
      <w:pPr>
        <w:widowControl/>
        <w:suppressAutoHyphens/>
        <w:autoSpaceDE/>
        <w:autoSpaceDN/>
        <w:spacing w:after="160"/>
        <w:jc w:val="both"/>
        <w:rPr>
          <w:i/>
          <w:iCs/>
          <w:color w:val="000000"/>
          <w:kern w:val="1"/>
          <w:sz w:val="24"/>
          <w:szCs w:val="24"/>
          <w:lang w:eastAsia="ar-SA"/>
        </w:rPr>
      </w:pPr>
      <w:r w:rsidRPr="00450FB4">
        <w:rPr>
          <w:b/>
          <w:i/>
          <w:iCs/>
          <w:color w:val="000000"/>
          <w:kern w:val="1"/>
          <w:sz w:val="24"/>
          <w:szCs w:val="24"/>
          <w:lang w:eastAsia="ar-SA"/>
        </w:rPr>
        <w:t>2.3 Evaluating the Value Addition of Fintech Acquisitions in Large Firms Using Accounting Return Methodology</w:t>
      </w:r>
    </w:p>
    <w:p w14:paraId="66476DD4" w14:textId="77777777" w:rsidR="00A95558" w:rsidRPr="00450FB4" w:rsidRDefault="00D67080" w:rsidP="00A95558">
      <w:pPr>
        <w:widowControl/>
        <w:suppressAutoHyphens/>
        <w:autoSpaceDE/>
        <w:autoSpaceDN/>
        <w:jc w:val="both"/>
        <w:rPr>
          <w:color w:val="000000"/>
          <w:kern w:val="1"/>
          <w:sz w:val="24"/>
          <w:szCs w:val="24"/>
          <w:lang w:eastAsia="ar-SA"/>
        </w:rPr>
      </w:pPr>
      <w:bookmarkStart w:id="13" w:name="docs-internal-guid-81c1c02a-7fff-7c0b-6b"/>
      <w:bookmarkEnd w:id="13"/>
      <w:r w:rsidRPr="00450FB4">
        <w:rPr>
          <w:color w:val="000000"/>
          <w:kern w:val="1"/>
          <w:sz w:val="24"/>
          <w:szCs w:val="24"/>
          <w:lang w:eastAsia="ar-SA"/>
        </w:rPr>
        <w:t>Thus, as the fintech industry evolved and expanded, large organisations were interested in incorporating fintech into their business models. Nonetheless, the creation of new departments in fintech needed efforts; hence, many banking institutions started buying the existing fintech firms for their growth and innovation.</w:t>
      </w:r>
      <w:r w:rsidRPr="00450FB4">
        <w:rPr>
          <w:bCs/>
          <w:color w:val="000000"/>
          <w:kern w:val="1"/>
          <w:sz w:val="24"/>
          <w:szCs w:val="24"/>
          <w:lang w:eastAsia="ar-SA"/>
        </w:rPr>
        <w:t xml:space="preserve"> The key question was whether these acquisitions added value to the firms. </w:t>
      </w:r>
      <w:r w:rsidRPr="00450FB4">
        <w:rPr>
          <w:color w:val="000000"/>
          <w:kern w:val="1"/>
          <w:sz w:val="24"/>
          <w:szCs w:val="24"/>
          <w:lang w:eastAsia="ar-SA"/>
        </w:rPr>
        <w:t xml:space="preserve">Researchers have employed various methodologies to assess M&amp;A performance, with the event study and accounting return methods being among the most used. The event study was developed to gauge the impact of an event announcement on shareholders' value (Fama, E. F., Fisher, L., Jensen, M. C., &amp; Roll, 1969). The event study is rooted in the Efficient Market Hypothesis (EMH), positing that market prices efficiently integrate all available information rationally and instantaneously. However, the efficient market hypothesis for the Indian market has been a contention among researchers. For instance, (Choudhury, M. K., Rajib, 2017; Jain et al., 2013; Jethwani, K., &amp; Achuthan, 2013; Mittal &amp; Jain, 2009) observed the Indian market to be efficient, while on the other hand, (Basu &amp; Chawla, 2010; Dsouza &amp; Mallikarjunappa, 2015; Gupta &amp; Yang, 2011; Mallikarjunappa, T. Dsouza, 2013a; Palamalai, S., &amp; Kalaivani, 2015; Sehgal &amp; Bijoy, 2015), noted the Indian market to be inefficient. </w:t>
      </w:r>
    </w:p>
    <w:p w14:paraId="5D4D5DC4" w14:textId="77777777" w:rsidR="00A95558" w:rsidRPr="00450FB4" w:rsidRDefault="00A95558" w:rsidP="00A95558">
      <w:pPr>
        <w:widowControl/>
        <w:suppressAutoHyphens/>
        <w:autoSpaceDE/>
        <w:autoSpaceDN/>
        <w:jc w:val="both"/>
        <w:rPr>
          <w:color w:val="000000"/>
          <w:kern w:val="1"/>
          <w:sz w:val="24"/>
          <w:szCs w:val="24"/>
          <w:lang w:eastAsia="ar-SA"/>
        </w:rPr>
      </w:pPr>
    </w:p>
    <w:p w14:paraId="7C131CCA"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However, many researchers, both in India and abroad, use the accounting return method to compare pre-and post-merger financial performance. </w:t>
      </w:r>
      <w:r w:rsidRPr="00450FB4">
        <w:rPr>
          <w:bCs/>
          <w:color w:val="000000"/>
          <w:kern w:val="1"/>
          <w:sz w:val="24"/>
          <w:szCs w:val="24"/>
          <w:lang w:eastAsia="ar-SA"/>
        </w:rPr>
        <w:t>The accounting return method evaluates M&amp;A effectiveness by analysing the financial performance of the combined firms two to three years post-acquisition using financial ratios. These studies typically compare the results of sample firms with control firms to discount any industry-wide phenomena. Many researchers favo</w:t>
      </w:r>
      <w:r w:rsidR="00240B98" w:rsidRPr="00450FB4">
        <w:rPr>
          <w:bCs/>
          <w:color w:val="000000"/>
          <w:kern w:val="1"/>
          <w:sz w:val="24"/>
          <w:szCs w:val="24"/>
          <w:lang w:eastAsia="ar-SA"/>
        </w:rPr>
        <w:t>u</w:t>
      </w:r>
      <w:r w:rsidRPr="00450FB4">
        <w:rPr>
          <w:bCs/>
          <w:color w:val="000000"/>
          <w:kern w:val="1"/>
          <w:sz w:val="24"/>
          <w:szCs w:val="24"/>
          <w:lang w:eastAsia="ar-SA"/>
        </w:rPr>
        <w:t>r this method; Harrison et al. (1991) justified its use because it does not rely on market efficiency or participation and measures the actual outcome of an acquisition. They noted that the market might not react to acquisition news if uniquely valuable synergies are kept private.</w:t>
      </w:r>
    </w:p>
    <w:p w14:paraId="04446381" w14:textId="77777777" w:rsidR="00A95558" w:rsidRPr="00450FB4" w:rsidRDefault="00A95558" w:rsidP="00A95558">
      <w:pPr>
        <w:widowControl/>
        <w:suppressAutoHyphens/>
        <w:autoSpaceDE/>
        <w:autoSpaceDN/>
        <w:jc w:val="both"/>
        <w:rPr>
          <w:color w:val="000000"/>
          <w:kern w:val="1"/>
          <w:sz w:val="24"/>
          <w:szCs w:val="24"/>
          <w:lang w:eastAsia="ar-SA"/>
        </w:rPr>
      </w:pPr>
    </w:p>
    <w:p w14:paraId="4EA9F18D"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color w:val="000000"/>
          <w:kern w:val="1"/>
          <w:sz w:val="24"/>
          <w:szCs w:val="24"/>
          <w:lang w:eastAsia="ar-SA"/>
        </w:rPr>
        <w:t xml:space="preserve">Accounting return studies have dominated Indian studies while considering acquisition performance. Pawaskar (2001), Mantravadi and Reddy (2007), Ramakrishna (2008), Kumar (2009), Saboo and Gopi (2009), Krishna Kumar and Sethi (2012) have all used this method. Furthermore, the primary ratios used in </w:t>
      </w:r>
      <w:r w:rsidRPr="00450FB4">
        <w:rPr>
          <w:color w:val="000000"/>
          <w:kern w:val="1"/>
          <w:sz w:val="24"/>
          <w:szCs w:val="24"/>
          <w:lang w:eastAsia="ar-SA"/>
        </w:rPr>
        <w:lastRenderedPageBreak/>
        <w:t xml:space="preserve">the analysis include Return on Capital Employed, Asset Turnover, Debt/Equity ratio, Operating margin, Gross Profit Margin, and Net Profit Margin. </w:t>
      </w:r>
    </w:p>
    <w:p w14:paraId="68A49612" w14:textId="77777777" w:rsidR="00A95558" w:rsidRPr="00450FB4" w:rsidRDefault="00A95558" w:rsidP="00A95558">
      <w:pPr>
        <w:widowControl/>
        <w:suppressAutoHyphens/>
        <w:autoSpaceDE/>
        <w:autoSpaceDN/>
        <w:jc w:val="both"/>
        <w:rPr>
          <w:bCs/>
          <w:color w:val="000000"/>
          <w:kern w:val="1"/>
          <w:sz w:val="24"/>
          <w:szCs w:val="24"/>
          <w:lang w:eastAsia="ar-SA"/>
        </w:rPr>
      </w:pPr>
    </w:p>
    <w:p w14:paraId="0D1E274E"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Cs/>
          <w:color w:val="000000"/>
          <w:kern w:val="1"/>
          <w:sz w:val="24"/>
          <w:szCs w:val="24"/>
          <w:lang w:eastAsia="ar-SA"/>
        </w:rPr>
        <w:t>In this study, we have employed the accounting return methodology and a multi-regression model to assess the effectiveness of these acquisitions.</w:t>
      </w:r>
    </w:p>
    <w:p w14:paraId="58D68AFD" w14:textId="77777777" w:rsidR="00A95558" w:rsidRPr="00450FB4" w:rsidRDefault="00A95558" w:rsidP="00A95558">
      <w:pPr>
        <w:widowControl/>
        <w:suppressAutoHyphens/>
        <w:autoSpaceDE/>
        <w:autoSpaceDN/>
        <w:spacing w:after="160"/>
        <w:jc w:val="both"/>
        <w:rPr>
          <w:color w:val="000000"/>
          <w:kern w:val="1"/>
          <w:sz w:val="24"/>
          <w:szCs w:val="24"/>
          <w:lang w:eastAsia="ar-SA"/>
        </w:rPr>
      </w:pPr>
    </w:p>
    <w:p w14:paraId="399EF9D5" w14:textId="77777777" w:rsidR="00A95558" w:rsidRPr="00450FB4" w:rsidRDefault="00D67080" w:rsidP="00A95558">
      <w:pPr>
        <w:widowControl/>
        <w:suppressAutoHyphens/>
        <w:autoSpaceDE/>
        <w:autoSpaceDN/>
        <w:spacing w:after="160"/>
        <w:jc w:val="both"/>
        <w:rPr>
          <w:i/>
          <w:iCs/>
          <w:color w:val="000000"/>
          <w:kern w:val="1"/>
          <w:sz w:val="24"/>
          <w:szCs w:val="24"/>
          <w:lang w:eastAsia="ar-SA"/>
        </w:rPr>
      </w:pPr>
      <w:r w:rsidRPr="00450FB4">
        <w:rPr>
          <w:b/>
          <w:bCs/>
          <w:i/>
          <w:iCs/>
          <w:color w:val="000000"/>
          <w:kern w:val="1"/>
          <w:sz w:val="24"/>
          <w:szCs w:val="24"/>
          <w:lang w:eastAsia="ar-SA"/>
        </w:rPr>
        <w:t>2.4 Financial Innovation Trends and M&amp;A Outcomes: India's Growing Influence in a Global Context</w:t>
      </w:r>
    </w:p>
    <w:p w14:paraId="22E325C4"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t>A review of 354 peer-reviewed articles from 2015-2022 shows an increasing trend in financial innovation research, with "FinTech" as the most discussed topic. The study predicts significant growth in FinTech research in emerging countries like India, highlighting its critical role in the evolving financial landscape (Firmansyah et al., 2024).</w:t>
      </w:r>
    </w:p>
    <w:p w14:paraId="7F2C8B51"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t xml:space="preserve">A comprehensive literature review on M&amp;As reveals varied regional outcomes. </w:t>
      </w:r>
      <w:bookmarkStart w:id="14" w:name="docs-internal-guid-86b485eb-7fff-c409-cd"/>
      <w:bookmarkEnd w:id="14"/>
      <w:r w:rsidRPr="00450FB4">
        <w:rPr>
          <w:color w:val="000000"/>
          <w:kern w:val="1"/>
          <w:sz w:val="24"/>
          <w:szCs w:val="24"/>
          <w:lang w:eastAsia="ar-SA"/>
        </w:rPr>
        <w:t xml:space="preserve">The research focusing on Indonesian companies shows decreased performance in return on assets and financial leverage post-M&amp;A and the firm's liquidity to be more effective (Syukur &amp; Bungkilo 2020). On the other hand, research conducted on Indian firms shows that M&amp;As act as a positive driver, impacting the firms’ profitability and liquidity (Aggarwal &amp; Garg, 2022; Phan et al., 2020). In the U.K., M&amp;As have positively impacted the return on asset (ROA), although they do not significantly affect the net profit margin (Dixit, 2019). Moreover, when considering market performance, M&amp;As in the selected developed countries show a significantly positive impact based on financial and non-financial indicators (Cui &amp; Chi-Moon Leung, 2020). </w:t>
      </w:r>
    </w:p>
    <w:p w14:paraId="6AE9AEB0"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t>Besides, the increase in M&amp;A in the developed economies has shown considerable enhancement in the economic leverage of the acquiring firms, emphasising opportunities for such alliances in improving the performance of the market, sources of funds, including cash and other forms of capital and influence in company's financial strength (Bianconi &amp; Tan, 2019).</w:t>
      </w:r>
    </w:p>
    <w:p w14:paraId="21DF9757" w14:textId="77777777" w:rsidR="00A95558" w:rsidRPr="00450FB4" w:rsidRDefault="00D67080" w:rsidP="00A95558">
      <w:pPr>
        <w:widowControl/>
        <w:suppressAutoHyphens/>
        <w:autoSpaceDE/>
        <w:autoSpaceDN/>
        <w:spacing w:after="160"/>
        <w:jc w:val="both"/>
        <w:rPr>
          <w:i/>
          <w:iCs/>
          <w:color w:val="000000"/>
          <w:kern w:val="1"/>
          <w:sz w:val="24"/>
          <w:szCs w:val="24"/>
          <w:lang w:eastAsia="ar-SA"/>
        </w:rPr>
      </w:pPr>
      <w:r w:rsidRPr="00450FB4">
        <w:rPr>
          <w:b/>
          <w:i/>
          <w:iCs/>
          <w:color w:val="000000"/>
          <w:kern w:val="1"/>
          <w:sz w:val="24"/>
          <w:szCs w:val="24"/>
          <w:lang w:eastAsia="ar-SA"/>
        </w:rPr>
        <w:t>2.5 Need for Research: Understanding the Impact of Fintech Acquisitions on Indian Market Dynamics</w:t>
      </w:r>
    </w:p>
    <w:p w14:paraId="19BDB2C2" w14:textId="77777777" w:rsidR="00A95558" w:rsidRPr="00450FB4" w:rsidRDefault="00D67080" w:rsidP="00A95558">
      <w:pPr>
        <w:widowControl/>
        <w:suppressAutoHyphens/>
        <w:autoSpaceDE/>
        <w:autoSpaceDN/>
        <w:spacing w:after="160"/>
        <w:jc w:val="both"/>
        <w:rPr>
          <w:color w:val="000000"/>
          <w:kern w:val="1"/>
          <w:sz w:val="24"/>
          <w:szCs w:val="24"/>
          <w:lang w:eastAsia="ar-SA"/>
        </w:rPr>
      </w:pPr>
      <w:bookmarkStart w:id="15" w:name="docs-internal-guid-93375b33-7fff-3a2f-6d"/>
      <w:bookmarkEnd w:id="15"/>
      <w:r w:rsidRPr="00450FB4">
        <w:rPr>
          <w:color w:val="000000"/>
          <w:kern w:val="1"/>
          <w:sz w:val="24"/>
          <w:szCs w:val="24"/>
          <w:lang w:eastAsia="ar-SA"/>
        </w:rPr>
        <w:t xml:space="preserve">Based on prior literature, M&amp;A is one of the most investigated topics across regions and industries. However, a notable gap exists between specific effects of M&amp;As between fintech companies and traditional firms in India. The existing literature has primarily focused on general M&amp;A outcomes, showing mixed results in the UK, Indonesia, and other developed and developing countries. </w:t>
      </w:r>
    </w:p>
    <w:p w14:paraId="1D7F8143"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lastRenderedPageBreak/>
        <w:t xml:space="preserve">A recent study by Akhtar and Nosheen (2022) observed a significant positive impact of fintech and banks M&amp;A on operating performance, liquidity, and financial leverage of banks but a negative impact on the market performance of banks in the long run. The study was done with a total sample of 592 taken from across the globe. However, there is limited research on the unique dynamics of fintech-related M&amp;As in the Indian context. This gap is particularly relevant given the rapid fintech-driven transformation in India's financial sector. Hence, investigating the specific impacts of M&amp;As between fintech companies and traditional firms in India can provide critical insights into the strategic value of these alliances. Such research can reveal how these acquisitions enhance operational efficiency, financial performance, and sustainability practices, offering valuable guidance for future M&amp;A strategies in the fintech acquisition in India. </w:t>
      </w:r>
    </w:p>
    <w:p w14:paraId="3F8EB770"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Therefore, this research has made an analysis of the impact of the acquisition of fintech firms on the acquiring firms in India on four major parameters as defined by Akhtar and Nosheen (2022): </w:t>
      </w:r>
    </w:p>
    <w:p w14:paraId="61202432" w14:textId="77777777" w:rsidR="00A95558" w:rsidRPr="00450FB4" w:rsidRDefault="00A95558" w:rsidP="00A95558">
      <w:pPr>
        <w:widowControl/>
        <w:suppressAutoHyphens/>
        <w:autoSpaceDE/>
        <w:autoSpaceDN/>
        <w:jc w:val="both"/>
        <w:rPr>
          <w:color w:val="000000"/>
          <w:kern w:val="1"/>
          <w:sz w:val="24"/>
          <w:szCs w:val="24"/>
          <w:lang w:eastAsia="ar-SA"/>
        </w:rPr>
      </w:pPr>
    </w:p>
    <w:p w14:paraId="29196A35"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a. Operating performance measured using return on assets (ROA) and net profit margin (NPM).</w:t>
      </w:r>
    </w:p>
    <w:p w14:paraId="4F0C3723"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b. Market performance is measured by the average share price (ASP). </w:t>
      </w:r>
    </w:p>
    <w:p w14:paraId="22AC2949"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c. Liquidity is measured by the Current Ratio (CR) of the acquiring firms.</w:t>
      </w:r>
    </w:p>
    <w:p w14:paraId="41B89AC1"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d. Financial leverage (FL) is measured by total debt to shareholders’ equity.</w:t>
      </w:r>
    </w:p>
    <w:p w14:paraId="6215B1A8" w14:textId="77777777" w:rsidR="00A95558" w:rsidRPr="00450FB4" w:rsidRDefault="00A95558" w:rsidP="00A95558">
      <w:pPr>
        <w:widowControl/>
        <w:suppressAutoHyphens/>
        <w:autoSpaceDE/>
        <w:autoSpaceDN/>
        <w:spacing w:after="160"/>
        <w:jc w:val="both"/>
        <w:rPr>
          <w:color w:val="000000"/>
          <w:kern w:val="1"/>
          <w:sz w:val="24"/>
          <w:szCs w:val="24"/>
          <w:lang w:eastAsia="ar-SA"/>
        </w:rPr>
      </w:pPr>
    </w:p>
    <w:p w14:paraId="754D682C" w14:textId="77777777" w:rsidR="00A95558" w:rsidRPr="00450FB4" w:rsidRDefault="00D67080" w:rsidP="00A95558">
      <w:pPr>
        <w:widowControl/>
        <w:suppressAutoHyphens/>
        <w:autoSpaceDE/>
        <w:autoSpaceDN/>
        <w:spacing w:after="160"/>
        <w:jc w:val="both"/>
        <w:rPr>
          <w:color w:val="000000"/>
          <w:kern w:val="1"/>
          <w:sz w:val="24"/>
          <w:szCs w:val="24"/>
          <w:lang w:eastAsia="ar-SA"/>
        </w:rPr>
      </w:pPr>
      <w:r w:rsidRPr="00450FB4">
        <w:rPr>
          <w:color w:val="000000"/>
          <w:kern w:val="1"/>
          <w:sz w:val="24"/>
          <w:szCs w:val="24"/>
          <w:lang w:eastAsia="ar-SA"/>
        </w:rPr>
        <w:t>All these above variables are explained in detail in Table 1.</w:t>
      </w:r>
    </w:p>
    <w:p w14:paraId="35A260A3" w14:textId="77777777" w:rsidR="00A95558" w:rsidRPr="00450FB4" w:rsidRDefault="00A95558" w:rsidP="00A95558">
      <w:pPr>
        <w:widowControl/>
        <w:suppressAutoHyphens/>
        <w:autoSpaceDE/>
        <w:autoSpaceDN/>
        <w:spacing w:after="160"/>
        <w:jc w:val="both"/>
        <w:rPr>
          <w:b/>
          <w:color w:val="000000"/>
          <w:kern w:val="1"/>
          <w:sz w:val="24"/>
          <w:szCs w:val="24"/>
          <w:lang w:eastAsia="ar-SA"/>
        </w:rPr>
      </w:pPr>
    </w:p>
    <w:p w14:paraId="31622269" w14:textId="77777777" w:rsidR="00240B98" w:rsidRPr="00450FB4" w:rsidRDefault="00240B98" w:rsidP="00A95558">
      <w:pPr>
        <w:widowControl/>
        <w:suppressAutoHyphens/>
        <w:autoSpaceDE/>
        <w:autoSpaceDN/>
        <w:spacing w:after="160"/>
        <w:jc w:val="both"/>
        <w:rPr>
          <w:b/>
          <w:color w:val="000000"/>
          <w:kern w:val="1"/>
          <w:sz w:val="24"/>
          <w:szCs w:val="24"/>
          <w:lang w:eastAsia="ar-SA"/>
        </w:rPr>
      </w:pPr>
    </w:p>
    <w:p w14:paraId="1CCEDDC7" w14:textId="77777777" w:rsidR="00A95558" w:rsidRPr="00450FB4" w:rsidRDefault="00D67080" w:rsidP="00A95558">
      <w:pPr>
        <w:widowControl/>
        <w:numPr>
          <w:ilvl w:val="0"/>
          <w:numId w:val="20"/>
        </w:numPr>
        <w:tabs>
          <w:tab w:val="left" w:pos="284"/>
        </w:tabs>
        <w:suppressAutoHyphens/>
        <w:autoSpaceDE/>
        <w:autoSpaceDN/>
        <w:spacing w:after="160" w:line="480" w:lineRule="auto"/>
        <w:ind w:left="0" w:firstLine="0"/>
        <w:jc w:val="both"/>
        <w:rPr>
          <w:b/>
          <w:color w:val="000000"/>
          <w:kern w:val="1"/>
          <w:sz w:val="24"/>
          <w:szCs w:val="24"/>
          <w:lang w:eastAsia="ar-SA"/>
        </w:rPr>
      </w:pPr>
      <w:r w:rsidRPr="00450FB4">
        <w:rPr>
          <w:b/>
          <w:color w:val="000000"/>
          <w:kern w:val="1"/>
          <w:sz w:val="24"/>
          <w:szCs w:val="24"/>
          <w:lang w:eastAsia="ar-SA"/>
        </w:rPr>
        <w:t>Data and Methodology</w:t>
      </w:r>
    </w:p>
    <w:p w14:paraId="471EE7A5" w14:textId="77777777" w:rsidR="00A95558" w:rsidRPr="00450FB4" w:rsidRDefault="00D67080" w:rsidP="00A95558">
      <w:pPr>
        <w:widowControl/>
        <w:suppressAutoHyphens/>
        <w:autoSpaceDE/>
        <w:autoSpaceDN/>
        <w:jc w:val="both"/>
        <w:rPr>
          <w:b/>
          <w:i/>
          <w:iCs/>
          <w:color w:val="000000"/>
          <w:kern w:val="1"/>
          <w:sz w:val="24"/>
          <w:szCs w:val="24"/>
          <w:lang w:eastAsia="ar-SA"/>
        </w:rPr>
      </w:pPr>
      <w:r w:rsidRPr="00450FB4">
        <w:rPr>
          <w:b/>
          <w:i/>
          <w:iCs/>
          <w:color w:val="000000"/>
          <w:kern w:val="1"/>
          <w:sz w:val="24"/>
          <w:szCs w:val="24"/>
          <w:lang w:eastAsia="ar-SA"/>
        </w:rPr>
        <w:t xml:space="preserve">3.1 Hypotheses </w:t>
      </w:r>
    </w:p>
    <w:p w14:paraId="07A9824E"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The hypotheses outline the anticipated relationships between fintech acquisitions and company performance:</w:t>
      </w:r>
    </w:p>
    <w:p w14:paraId="0CF8AA41" w14:textId="77777777" w:rsidR="00A95558" w:rsidRPr="00450FB4" w:rsidRDefault="00A95558" w:rsidP="00A95558">
      <w:pPr>
        <w:widowControl/>
        <w:suppressAutoHyphens/>
        <w:autoSpaceDE/>
        <w:autoSpaceDN/>
        <w:jc w:val="both"/>
        <w:rPr>
          <w:color w:val="000000"/>
          <w:kern w:val="1"/>
          <w:sz w:val="24"/>
          <w:szCs w:val="24"/>
          <w:lang w:eastAsia="ar-SA"/>
        </w:rPr>
      </w:pPr>
    </w:p>
    <w:p w14:paraId="3AA830C4"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t>Hypothesis 1: Fintech acquisitions significantly enhance the operating performance of acquiring firms in India.</w:t>
      </w:r>
    </w:p>
    <w:p w14:paraId="6163AF09"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t>Hypothesis 1a: Fintech acquisitions significantly improve the return on assets (ROA) of acquiring firms in India.</w:t>
      </w:r>
    </w:p>
    <w:p w14:paraId="483ED252"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lastRenderedPageBreak/>
        <w:t>Hypothesis 1b: Fintech acquisitions significantly enhance the net profit margin (NPM) of acquiring firms in India.</w:t>
      </w:r>
    </w:p>
    <w:p w14:paraId="2D177CC4" w14:textId="77777777" w:rsidR="00A95558" w:rsidRPr="00450FB4" w:rsidRDefault="00A95558" w:rsidP="00A95558">
      <w:pPr>
        <w:widowControl/>
        <w:suppressAutoHyphens/>
        <w:autoSpaceDE/>
        <w:autoSpaceDN/>
        <w:jc w:val="both"/>
        <w:rPr>
          <w:i/>
          <w:iCs/>
          <w:color w:val="000000"/>
          <w:kern w:val="1"/>
          <w:sz w:val="24"/>
          <w:szCs w:val="24"/>
          <w:lang w:eastAsia="ar-SA"/>
        </w:rPr>
      </w:pPr>
    </w:p>
    <w:p w14:paraId="791A3108"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t>Hypothesis 2: Fintech acquisitions significantly improve the market performance of acquiring firms in India.</w:t>
      </w:r>
    </w:p>
    <w:p w14:paraId="7CD80B32" w14:textId="77777777" w:rsidR="00A95558" w:rsidRPr="00450FB4" w:rsidRDefault="00A95558" w:rsidP="00A95558">
      <w:pPr>
        <w:widowControl/>
        <w:suppressAutoHyphens/>
        <w:autoSpaceDE/>
        <w:autoSpaceDN/>
        <w:jc w:val="both"/>
        <w:rPr>
          <w:i/>
          <w:iCs/>
          <w:color w:val="000000"/>
          <w:kern w:val="1"/>
          <w:sz w:val="24"/>
          <w:szCs w:val="24"/>
          <w:lang w:eastAsia="ar-SA"/>
        </w:rPr>
      </w:pPr>
    </w:p>
    <w:p w14:paraId="073270C8"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t>Hypothesis 3: Fintech acquisitions significantly enhance the liquidity of acquiring firms in India.</w:t>
      </w:r>
    </w:p>
    <w:p w14:paraId="351D669F" w14:textId="77777777" w:rsidR="00A95558" w:rsidRPr="00450FB4" w:rsidRDefault="00A95558" w:rsidP="00A95558">
      <w:pPr>
        <w:widowControl/>
        <w:suppressAutoHyphens/>
        <w:autoSpaceDE/>
        <w:autoSpaceDN/>
        <w:jc w:val="both"/>
        <w:rPr>
          <w:i/>
          <w:iCs/>
          <w:color w:val="000000"/>
          <w:kern w:val="1"/>
          <w:sz w:val="24"/>
          <w:szCs w:val="24"/>
          <w:lang w:eastAsia="ar-SA"/>
        </w:rPr>
      </w:pPr>
    </w:p>
    <w:p w14:paraId="43F6C3EB" w14:textId="77777777" w:rsidR="00A95558" w:rsidRPr="00450FB4" w:rsidRDefault="00D67080" w:rsidP="00A95558">
      <w:pPr>
        <w:widowControl/>
        <w:suppressAutoHyphens/>
        <w:autoSpaceDE/>
        <w:autoSpaceDN/>
        <w:jc w:val="both"/>
        <w:rPr>
          <w:i/>
          <w:iCs/>
          <w:color w:val="000000"/>
          <w:kern w:val="1"/>
          <w:sz w:val="24"/>
          <w:szCs w:val="24"/>
          <w:lang w:eastAsia="ar-SA"/>
        </w:rPr>
      </w:pPr>
      <w:r w:rsidRPr="00450FB4">
        <w:rPr>
          <w:i/>
          <w:iCs/>
          <w:color w:val="000000"/>
          <w:kern w:val="1"/>
          <w:sz w:val="24"/>
          <w:szCs w:val="24"/>
          <w:lang w:eastAsia="ar-SA"/>
        </w:rPr>
        <w:t>Hypothesis 4: Fintech acquisitions significantly improve the financial leverage of acquiring firms in India.</w:t>
      </w:r>
    </w:p>
    <w:p w14:paraId="6CC6E642" w14:textId="77777777" w:rsidR="00A95558" w:rsidRPr="00450FB4" w:rsidRDefault="00A95558" w:rsidP="00A95558">
      <w:pPr>
        <w:widowControl/>
        <w:suppressAutoHyphens/>
        <w:autoSpaceDE/>
        <w:autoSpaceDN/>
        <w:jc w:val="both"/>
        <w:rPr>
          <w:color w:val="000000"/>
          <w:kern w:val="1"/>
          <w:sz w:val="24"/>
          <w:szCs w:val="24"/>
          <w:lang w:eastAsia="ar-SA"/>
        </w:rPr>
      </w:pPr>
    </w:p>
    <w:p w14:paraId="257C74A7" w14:textId="77777777" w:rsidR="00A95558" w:rsidRPr="00450FB4" w:rsidRDefault="00D67080" w:rsidP="00A95558">
      <w:pPr>
        <w:widowControl/>
        <w:suppressAutoHyphens/>
        <w:autoSpaceDE/>
        <w:autoSpaceDN/>
        <w:jc w:val="both"/>
        <w:rPr>
          <w:bCs/>
          <w:i/>
          <w:iCs/>
          <w:color w:val="000000"/>
          <w:kern w:val="1"/>
          <w:sz w:val="24"/>
          <w:szCs w:val="24"/>
          <w:lang w:eastAsia="ar-SA"/>
        </w:rPr>
      </w:pPr>
      <w:r w:rsidRPr="00450FB4">
        <w:rPr>
          <w:b/>
          <w:bCs/>
          <w:i/>
          <w:iCs/>
          <w:color w:val="000000"/>
          <w:kern w:val="1"/>
          <w:sz w:val="24"/>
          <w:szCs w:val="24"/>
          <w:lang w:eastAsia="ar-SA"/>
        </w:rPr>
        <w:t>3.2 Definition and Description of Variables</w:t>
      </w:r>
    </w:p>
    <w:p w14:paraId="3293FC1E"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Before testing the hypotheses, it was essential to establish and outline the research variables and data. Table 1 describes the variables used in the research papers.</w:t>
      </w:r>
    </w:p>
    <w:p w14:paraId="723BCF61" w14:textId="77777777" w:rsidR="00A95558" w:rsidRPr="00450FB4" w:rsidRDefault="00D67080" w:rsidP="00A95558">
      <w:pPr>
        <w:widowControl/>
        <w:suppressAutoHyphens/>
        <w:autoSpaceDE/>
        <w:autoSpaceDN/>
        <w:spacing w:before="240"/>
        <w:jc w:val="center"/>
        <w:rPr>
          <w:b/>
          <w:bCs/>
          <w:color w:val="000000"/>
          <w:kern w:val="1"/>
          <w:sz w:val="24"/>
          <w:szCs w:val="24"/>
          <w:lang w:eastAsia="ar-SA"/>
        </w:rPr>
      </w:pPr>
      <w:r w:rsidRPr="00450FB4">
        <w:rPr>
          <w:b/>
          <w:bCs/>
          <w:color w:val="000000"/>
          <w:kern w:val="1"/>
          <w:sz w:val="24"/>
          <w:szCs w:val="24"/>
          <w:lang w:eastAsia="ar-SA"/>
        </w:rPr>
        <w:t>Table 1: Data and Variables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1"/>
        <w:gridCol w:w="1713"/>
        <w:gridCol w:w="734"/>
        <w:gridCol w:w="4822"/>
      </w:tblGrid>
      <w:tr w:rsidR="00161788" w:rsidRPr="00450FB4" w14:paraId="67F9C1BC" w14:textId="77777777" w:rsidTr="000C7E69">
        <w:trPr>
          <w:tblHeader/>
          <w:tblCellSpacing w:w="15" w:type="dxa"/>
        </w:trPr>
        <w:tc>
          <w:tcPr>
            <w:tcW w:w="249" w:type="pct"/>
            <w:tcBorders>
              <w:top w:val="nil"/>
              <w:bottom w:val="single" w:sz="4" w:space="0" w:color="auto"/>
            </w:tcBorders>
            <w:vAlign w:val="center"/>
            <w:hideMark/>
          </w:tcPr>
          <w:p w14:paraId="7B8FBD30" w14:textId="77777777" w:rsidR="00A95558" w:rsidRPr="00450FB4" w:rsidRDefault="00D67080" w:rsidP="00A95558">
            <w:pPr>
              <w:widowControl/>
              <w:autoSpaceDE/>
              <w:autoSpaceDN/>
              <w:jc w:val="both"/>
              <w:rPr>
                <w:b/>
                <w:bCs/>
                <w:sz w:val="20"/>
                <w:szCs w:val="20"/>
                <w:lang w:eastAsia="en-IN"/>
              </w:rPr>
            </w:pPr>
            <w:r w:rsidRPr="00450FB4">
              <w:rPr>
                <w:b/>
                <w:bCs/>
                <w:sz w:val="20"/>
                <w:szCs w:val="20"/>
                <w:lang w:eastAsia="en-IN"/>
              </w:rPr>
              <w:t>S.N.</w:t>
            </w:r>
          </w:p>
        </w:tc>
        <w:tc>
          <w:tcPr>
            <w:tcW w:w="1098" w:type="pct"/>
            <w:tcBorders>
              <w:top w:val="nil"/>
              <w:bottom w:val="single" w:sz="4" w:space="0" w:color="auto"/>
            </w:tcBorders>
            <w:vAlign w:val="center"/>
            <w:hideMark/>
          </w:tcPr>
          <w:p w14:paraId="5459CB81" w14:textId="77777777" w:rsidR="00A95558" w:rsidRPr="00450FB4" w:rsidRDefault="00D67080" w:rsidP="00A95558">
            <w:pPr>
              <w:widowControl/>
              <w:autoSpaceDE/>
              <w:autoSpaceDN/>
              <w:jc w:val="both"/>
              <w:rPr>
                <w:b/>
                <w:bCs/>
                <w:sz w:val="20"/>
                <w:szCs w:val="20"/>
                <w:lang w:eastAsia="en-IN"/>
              </w:rPr>
            </w:pPr>
            <w:r w:rsidRPr="00450FB4">
              <w:rPr>
                <w:b/>
                <w:bCs/>
                <w:sz w:val="20"/>
                <w:szCs w:val="20"/>
                <w:lang w:eastAsia="en-IN"/>
              </w:rPr>
              <w:t>Variables</w:t>
            </w:r>
          </w:p>
        </w:tc>
        <w:tc>
          <w:tcPr>
            <w:tcW w:w="459" w:type="pct"/>
            <w:tcBorders>
              <w:top w:val="nil"/>
              <w:bottom w:val="single" w:sz="4" w:space="0" w:color="auto"/>
            </w:tcBorders>
            <w:vAlign w:val="center"/>
            <w:hideMark/>
          </w:tcPr>
          <w:p w14:paraId="13E0F174" w14:textId="77777777" w:rsidR="00A95558" w:rsidRPr="00450FB4" w:rsidRDefault="00D67080" w:rsidP="00A95558">
            <w:pPr>
              <w:widowControl/>
              <w:autoSpaceDE/>
              <w:autoSpaceDN/>
              <w:jc w:val="both"/>
              <w:rPr>
                <w:b/>
                <w:bCs/>
                <w:sz w:val="20"/>
                <w:szCs w:val="20"/>
                <w:lang w:eastAsia="en-IN"/>
              </w:rPr>
            </w:pPr>
            <w:r w:rsidRPr="00450FB4">
              <w:rPr>
                <w:b/>
                <w:bCs/>
                <w:sz w:val="20"/>
                <w:szCs w:val="20"/>
                <w:lang w:eastAsia="en-IN"/>
              </w:rPr>
              <w:t>Symbol</w:t>
            </w:r>
          </w:p>
        </w:tc>
        <w:tc>
          <w:tcPr>
            <w:tcW w:w="3112" w:type="pct"/>
            <w:tcBorders>
              <w:top w:val="nil"/>
              <w:bottom w:val="single" w:sz="4" w:space="0" w:color="auto"/>
            </w:tcBorders>
            <w:vAlign w:val="center"/>
            <w:hideMark/>
          </w:tcPr>
          <w:p w14:paraId="379B9D99" w14:textId="77777777" w:rsidR="00A95558" w:rsidRPr="00450FB4" w:rsidRDefault="00D67080" w:rsidP="00A95558">
            <w:pPr>
              <w:widowControl/>
              <w:autoSpaceDE/>
              <w:autoSpaceDN/>
              <w:jc w:val="both"/>
              <w:rPr>
                <w:b/>
                <w:bCs/>
                <w:sz w:val="20"/>
                <w:szCs w:val="20"/>
                <w:lang w:eastAsia="en-IN"/>
              </w:rPr>
            </w:pPr>
            <w:r w:rsidRPr="00450FB4">
              <w:rPr>
                <w:b/>
                <w:bCs/>
                <w:sz w:val="20"/>
                <w:szCs w:val="20"/>
                <w:lang w:eastAsia="en-IN"/>
              </w:rPr>
              <w:t>Descriptions</w:t>
            </w:r>
          </w:p>
        </w:tc>
      </w:tr>
      <w:tr w:rsidR="00161788" w:rsidRPr="00450FB4" w14:paraId="2A146938" w14:textId="77777777" w:rsidTr="000C7E69">
        <w:trPr>
          <w:tblCellSpacing w:w="15" w:type="dxa"/>
        </w:trPr>
        <w:tc>
          <w:tcPr>
            <w:tcW w:w="249" w:type="pct"/>
            <w:vAlign w:val="center"/>
            <w:hideMark/>
          </w:tcPr>
          <w:p w14:paraId="738A2A40"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1</w:t>
            </w:r>
          </w:p>
        </w:tc>
        <w:tc>
          <w:tcPr>
            <w:tcW w:w="1098" w:type="pct"/>
            <w:vAlign w:val="center"/>
            <w:hideMark/>
          </w:tcPr>
          <w:p w14:paraId="1683DB1B" w14:textId="77777777" w:rsidR="00A95558" w:rsidRPr="00450FB4" w:rsidRDefault="00D67080" w:rsidP="00A95558">
            <w:pPr>
              <w:widowControl/>
              <w:autoSpaceDE/>
              <w:autoSpaceDN/>
              <w:rPr>
                <w:sz w:val="20"/>
                <w:szCs w:val="20"/>
                <w:lang w:eastAsia="en-IN"/>
              </w:rPr>
            </w:pPr>
            <w:r w:rsidRPr="00450FB4">
              <w:rPr>
                <w:sz w:val="20"/>
                <w:szCs w:val="20"/>
                <w:lang w:eastAsia="en-IN"/>
              </w:rPr>
              <w:t>Mergers and acquisitions</w:t>
            </w:r>
          </w:p>
        </w:tc>
        <w:tc>
          <w:tcPr>
            <w:tcW w:w="459" w:type="pct"/>
            <w:vAlign w:val="center"/>
            <w:hideMark/>
          </w:tcPr>
          <w:p w14:paraId="5B79460A" w14:textId="77777777" w:rsidR="00A95558" w:rsidRPr="00450FB4" w:rsidRDefault="00D67080" w:rsidP="00A95558">
            <w:pPr>
              <w:widowControl/>
              <w:autoSpaceDE/>
              <w:autoSpaceDN/>
              <w:rPr>
                <w:sz w:val="20"/>
                <w:szCs w:val="20"/>
                <w:lang w:eastAsia="en-IN"/>
              </w:rPr>
            </w:pPr>
            <w:r w:rsidRPr="00450FB4">
              <w:rPr>
                <w:sz w:val="20"/>
                <w:szCs w:val="20"/>
                <w:lang w:eastAsia="en-IN"/>
              </w:rPr>
              <w:t>Merger</w:t>
            </w:r>
          </w:p>
        </w:tc>
        <w:tc>
          <w:tcPr>
            <w:tcW w:w="3112" w:type="pct"/>
            <w:vAlign w:val="center"/>
            <w:hideMark/>
          </w:tcPr>
          <w:p w14:paraId="5680E66B" w14:textId="77777777" w:rsidR="00A95558" w:rsidRPr="00450FB4" w:rsidRDefault="00D67080" w:rsidP="00A95558">
            <w:pPr>
              <w:widowControl/>
              <w:autoSpaceDE/>
              <w:autoSpaceDN/>
              <w:rPr>
                <w:sz w:val="20"/>
                <w:szCs w:val="20"/>
                <w:lang w:eastAsia="en-IN"/>
              </w:rPr>
            </w:pPr>
            <w:r w:rsidRPr="00450FB4">
              <w:rPr>
                <w:sz w:val="20"/>
                <w:szCs w:val="20"/>
                <w:lang w:eastAsia="en-IN"/>
              </w:rPr>
              <w:t>M&amp;A = Mergers and Acquisitions, Merger for pre-merger period = 0, and for post-merger period = 1</w:t>
            </w:r>
          </w:p>
        </w:tc>
      </w:tr>
      <w:tr w:rsidR="00161788" w:rsidRPr="00450FB4" w14:paraId="4D163CBE" w14:textId="77777777" w:rsidTr="000C7E69">
        <w:trPr>
          <w:tblCellSpacing w:w="15" w:type="dxa"/>
        </w:trPr>
        <w:tc>
          <w:tcPr>
            <w:tcW w:w="249" w:type="pct"/>
            <w:vAlign w:val="center"/>
            <w:hideMark/>
          </w:tcPr>
          <w:p w14:paraId="6C1554B8"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2</w:t>
            </w:r>
          </w:p>
        </w:tc>
        <w:tc>
          <w:tcPr>
            <w:tcW w:w="1098" w:type="pct"/>
            <w:vAlign w:val="center"/>
            <w:hideMark/>
          </w:tcPr>
          <w:p w14:paraId="09600CB6" w14:textId="77777777" w:rsidR="00A95558" w:rsidRPr="00450FB4" w:rsidRDefault="00D67080" w:rsidP="00A95558">
            <w:pPr>
              <w:widowControl/>
              <w:autoSpaceDE/>
              <w:autoSpaceDN/>
              <w:rPr>
                <w:sz w:val="20"/>
                <w:szCs w:val="20"/>
                <w:lang w:eastAsia="en-IN"/>
              </w:rPr>
            </w:pPr>
            <w:r w:rsidRPr="00450FB4">
              <w:rPr>
                <w:sz w:val="20"/>
                <w:szCs w:val="20"/>
                <w:lang w:eastAsia="en-IN"/>
              </w:rPr>
              <w:t>Operating performance</w:t>
            </w:r>
          </w:p>
        </w:tc>
        <w:tc>
          <w:tcPr>
            <w:tcW w:w="459" w:type="pct"/>
            <w:vAlign w:val="center"/>
            <w:hideMark/>
          </w:tcPr>
          <w:p w14:paraId="44D44AF4" w14:textId="77777777" w:rsidR="00A95558" w:rsidRPr="00450FB4" w:rsidRDefault="00D67080" w:rsidP="00A95558">
            <w:pPr>
              <w:widowControl/>
              <w:autoSpaceDE/>
              <w:autoSpaceDN/>
              <w:rPr>
                <w:sz w:val="20"/>
                <w:szCs w:val="20"/>
                <w:lang w:eastAsia="en-IN"/>
              </w:rPr>
            </w:pPr>
            <w:r w:rsidRPr="00450FB4">
              <w:rPr>
                <w:sz w:val="20"/>
                <w:szCs w:val="20"/>
                <w:lang w:eastAsia="en-IN"/>
              </w:rPr>
              <w:t>ROA, NPM</w:t>
            </w:r>
          </w:p>
        </w:tc>
        <w:tc>
          <w:tcPr>
            <w:tcW w:w="3112" w:type="pct"/>
            <w:vAlign w:val="center"/>
            <w:hideMark/>
          </w:tcPr>
          <w:p w14:paraId="1F4C4C42" w14:textId="77777777" w:rsidR="00A95558" w:rsidRPr="00450FB4" w:rsidRDefault="00D67080" w:rsidP="00A95558">
            <w:pPr>
              <w:widowControl/>
              <w:autoSpaceDE/>
              <w:autoSpaceDN/>
              <w:rPr>
                <w:sz w:val="20"/>
                <w:szCs w:val="20"/>
                <w:lang w:eastAsia="en-IN"/>
              </w:rPr>
            </w:pPr>
            <w:r w:rsidRPr="00450FB4">
              <w:rPr>
                <w:sz w:val="20"/>
                <w:szCs w:val="20"/>
                <w:lang w:eastAsia="en-IN"/>
              </w:rPr>
              <w:t>ROA = Return on Assets, NPM = Net Profit Margin</w:t>
            </w:r>
          </w:p>
        </w:tc>
      </w:tr>
      <w:tr w:rsidR="00161788" w:rsidRPr="00450FB4" w14:paraId="07132FCC" w14:textId="77777777" w:rsidTr="000C7E69">
        <w:trPr>
          <w:tblCellSpacing w:w="15" w:type="dxa"/>
        </w:trPr>
        <w:tc>
          <w:tcPr>
            <w:tcW w:w="249" w:type="pct"/>
            <w:vAlign w:val="center"/>
            <w:hideMark/>
          </w:tcPr>
          <w:p w14:paraId="69252AC6"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3</w:t>
            </w:r>
          </w:p>
        </w:tc>
        <w:tc>
          <w:tcPr>
            <w:tcW w:w="1098" w:type="pct"/>
            <w:vAlign w:val="center"/>
            <w:hideMark/>
          </w:tcPr>
          <w:p w14:paraId="51E6E165" w14:textId="77777777" w:rsidR="00A95558" w:rsidRPr="00450FB4" w:rsidRDefault="00D67080" w:rsidP="00A95558">
            <w:pPr>
              <w:widowControl/>
              <w:autoSpaceDE/>
              <w:autoSpaceDN/>
              <w:rPr>
                <w:sz w:val="20"/>
                <w:szCs w:val="20"/>
                <w:lang w:eastAsia="en-IN"/>
              </w:rPr>
            </w:pPr>
            <w:r w:rsidRPr="00450FB4">
              <w:rPr>
                <w:sz w:val="20"/>
                <w:szCs w:val="20"/>
                <w:lang w:eastAsia="en-IN"/>
              </w:rPr>
              <w:t>Market-based performance</w:t>
            </w:r>
          </w:p>
        </w:tc>
        <w:tc>
          <w:tcPr>
            <w:tcW w:w="459" w:type="pct"/>
            <w:vAlign w:val="center"/>
            <w:hideMark/>
          </w:tcPr>
          <w:p w14:paraId="2161B603" w14:textId="77777777" w:rsidR="00A95558" w:rsidRPr="00450FB4" w:rsidRDefault="00D67080" w:rsidP="00A95558">
            <w:pPr>
              <w:widowControl/>
              <w:autoSpaceDE/>
              <w:autoSpaceDN/>
              <w:rPr>
                <w:sz w:val="20"/>
                <w:szCs w:val="20"/>
                <w:lang w:eastAsia="en-IN"/>
              </w:rPr>
            </w:pPr>
            <w:r w:rsidRPr="00450FB4">
              <w:rPr>
                <w:sz w:val="20"/>
                <w:szCs w:val="20"/>
                <w:lang w:eastAsia="en-IN"/>
              </w:rPr>
              <w:t>ASP</w:t>
            </w:r>
          </w:p>
        </w:tc>
        <w:tc>
          <w:tcPr>
            <w:tcW w:w="3112" w:type="pct"/>
            <w:vAlign w:val="center"/>
            <w:hideMark/>
          </w:tcPr>
          <w:p w14:paraId="3C904E28" w14:textId="77777777" w:rsidR="00A95558" w:rsidRPr="00450FB4" w:rsidRDefault="00D67080" w:rsidP="00A95558">
            <w:pPr>
              <w:widowControl/>
              <w:autoSpaceDE/>
              <w:autoSpaceDN/>
              <w:rPr>
                <w:sz w:val="20"/>
                <w:szCs w:val="20"/>
                <w:lang w:eastAsia="en-IN"/>
              </w:rPr>
            </w:pPr>
            <w:r w:rsidRPr="00450FB4">
              <w:rPr>
                <w:sz w:val="20"/>
                <w:szCs w:val="20"/>
                <w:lang w:eastAsia="en-IN"/>
              </w:rPr>
              <w:t>ASP = Average Share Price</w:t>
            </w:r>
          </w:p>
        </w:tc>
      </w:tr>
      <w:tr w:rsidR="00161788" w:rsidRPr="00450FB4" w14:paraId="03549E2E" w14:textId="77777777" w:rsidTr="000C7E69">
        <w:trPr>
          <w:tblCellSpacing w:w="15" w:type="dxa"/>
        </w:trPr>
        <w:tc>
          <w:tcPr>
            <w:tcW w:w="249" w:type="pct"/>
            <w:vAlign w:val="center"/>
            <w:hideMark/>
          </w:tcPr>
          <w:p w14:paraId="061D61BB"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4</w:t>
            </w:r>
          </w:p>
        </w:tc>
        <w:tc>
          <w:tcPr>
            <w:tcW w:w="1098" w:type="pct"/>
            <w:vAlign w:val="center"/>
            <w:hideMark/>
          </w:tcPr>
          <w:p w14:paraId="303AF463" w14:textId="77777777" w:rsidR="00A95558" w:rsidRPr="00450FB4" w:rsidRDefault="00D67080" w:rsidP="00A95558">
            <w:pPr>
              <w:widowControl/>
              <w:autoSpaceDE/>
              <w:autoSpaceDN/>
              <w:rPr>
                <w:sz w:val="20"/>
                <w:szCs w:val="20"/>
                <w:lang w:eastAsia="en-IN"/>
              </w:rPr>
            </w:pPr>
            <w:r w:rsidRPr="00450FB4">
              <w:rPr>
                <w:sz w:val="20"/>
                <w:szCs w:val="20"/>
                <w:lang w:eastAsia="en-IN"/>
              </w:rPr>
              <w:t>Liquidity</w:t>
            </w:r>
          </w:p>
        </w:tc>
        <w:tc>
          <w:tcPr>
            <w:tcW w:w="459" w:type="pct"/>
            <w:vAlign w:val="center"/>
            <w:hideMark/>
          </w:tcPr>
          <w:p w14:paraId="60BE4F4E" w14:textId="77777777" w:rsidR="00A95558" w:rsidRPr="00450FB4" w:rsidRDefault="00D67080" w:rsidP="00A95558">
            <w:pPr>
              <w:widowControl/>
              <w:autoSpaceDE/>
              <w:autoSpaceDN/>
              <w:rPr>
                <w:sz w:val="20"/>
                <w:szCs w:val="20"/>
                <w:lang w:eastAsia="en-IN"/>
              </w:rPr>
            </w:pPr>
            <w:r w:rsidRPr="00450FB4">
              <w:rPr>
                <w:sz w:val="20"/>
                <w:szCs w:val="20"/>
                <w:lang w:eastAsia="en-IN"/>
              </w:rPr>
              <w:t>CR</w:t>
            </w:r>
          </w:p>
        </w:tc>
        <w:tc>
          <w:tcPr>
            <w:tcW w:w="3112" w:type="pct"/>
            <w:vAlign w:val="center"/>
            <w:hideMark/>
          </w:tcPr>
          <w:p w14:paraId="7FF55F44" w14:textId="77777777" w:rsidR="00A95558" w:rsidRPr="00450FB4" w:rsidRDefault="00D67080" w:rsidP="00A95558">
            <w:pPr>
              <w:widowControl/>
              <w:autoSpaceDE/>
              <w:autoSpaceDN/>
              <w:rPr>
                <w:sz w:val="20"/>
                <w:szCs w:val="20"/>
                <w:lang w:eastAsia="en-IN"/>
              </w:rPr>
            </w:pPr>
            <w:r w:rsidRPr="00450FB4">
              <w:rPr>
                <w:sz w:val="20"/>
                <w:szCs w:val="20"/>
                <w:lang w:eastAsia="en-IN"/>
              </w:rPr>
              <w:t>CR = Current Ratio</w:t>
            </w:r>
          </w:p>
        </w:tc>
      </w:tr>
      <w:tr w:rsidR="00161788" w:rsidRPr="00450FB4" w14:paraId="17CEEBCC" w14:textId="77777777" w:rsidTr="000C7E69">
        <w:trPr>
          <w:tblCellSpacing w:w="15" w:type="dxa"/>
        </w:trPr>
        <w:tc>
          <w:tcPr>
            <w:tcW w:w="249" w:type="pct"/>
            <w:vAlign w:val="center"/>
            <w:hideMark/>
          </w:tcPr>
          <w:p w14:paraId="60450288"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5</w:t>
            </w:r>
          </w:p>
        </w:tc>
        <w:tc>
          <w:tcPr>
            <w:tcW w:w="1098" w:type="pct"/>
            <w:vAlign w:val="center"/>
            <w:hideMark/>
          </w:tcPr>
          <w:p w14:paraId="527F019C" w14:textId="77777777" w:rsidR="00A95558" w:rsidRPr="00450FB4" w:rsidRDefault="00D67080" w:rsidP="00A95558">
            <w:pPr>
              <w:widowControl/>
              <w:autoSpaceDE/>
              <w:autoSpaceDN/>
              <w:rPr>
                <w:sz w:val="20"/>
                <w:szCs w:val="20"/>
                <w:lang w:eastAsia="en-IN"/>
              </w:rPr>
            </w:pPr>
            <w:r w:rsidRPr="00450FB4">
              <w:rPr>
                <w:sz w:val="20"/>
                <w:szCs w:val="20"/>
                <w:lang w:eastAsia="en-IN"/>
              </w:rPr>
              <w:t>Financial Leverage</w:t>
            </w:r>
          </w:p>
        </w:tc>
        <w:tc>
          <w:tcPr>
            <w:tcW w:w="459" w:type="pct"/>
            <w:vAlign w:val="center"/>
            <w:hideMark/>
          </w:tcPr>
          <w:p w14:paraId="6D6DA538" w14:textId="77777777" w:rsidR="00A95558" w:rsidRPr="00450FB4" w:rsidRDefault="00D67080" w:rsidP="00A95558">
            <w:pPr>
              <w:widowControl/>
              <w:autoSpaceDE/>
              <w:autoSpaceDN/>
              <w:rPr>
                <w:sz w:val="20"/>
                <w:szCs w:val="20"/>
                <w:lang w:eastAsia="en-IN"/>
              </w:rPr>
            </w:pPr>
            <w:r w:rsidRPr="00450FB4">
              <w:rPr>
                <w:sz w:val="20"/>
                <w:szCs w:val="20"/>
                <w:lang w:eastAsia="en-IN"/>
              </w:rPr>
              <w:t>FL</w:t>
            </w:r>
          </w:p>
        </w:tc>
        <w:tc>
          <w:tcPr>
            <w:tcW w:w="3112" w:type="pct"/>
            <w:vAlign w:val="center"/>
            <w:hideMark/>
          </w:tcPr>
          <w:p w14:paraId="22685699" w14:textId="77777777" w:rsidR="00A95558" w:rsidRPr="00450FB4" w:rsidRDefault="00D67080" w:rsidP="00A95558">
            <w:pPr>
              <w:widowControl/>
              <w:autoSpaceDE/>
              <w:autoSpaceDN/>
              <w:rPr>
                <w:sz w:val="20"/>
                <w:szCs w:val="20"/>
                <w:lang w:eastAsia="en-IN"/>
              </w:rPr>
            </w:pPr>
            <w:r w:rsidRPr="00450FB4">
              <w:rPr>
                <w:sz w:val="20"/>
                <w:szCs w:val="20"/>
                <w:lang w:eastAsia="en-IN"/>
              </w:rPr>
              <w:t>FL = Total debt/shareholders’ equity</w:t>
            </w:r>
          </w:p>
        </w:tc>
      </w:tr>
      <w:tr w:rsidR="00161788" w:rsidRPr="00450FB4" w14:paraId="411051E1" w14:textId="77777777" w:rsidTr="000C7E69">
        <w:trPr>
          <w:trHeight w:val="87"/>
          <w:tblCellSpacing w:w="15" w:type="dxa"/>
        </w:trPr>
        <w:tc>
          <w:tcPr>
            <w:tcW w:w="249" w:type="pct"/>
            <w:tcBorders>
              <w:bottom w:val="single" w:sz="4" w:space="0" w:color="auto"/>
            </w:tcBorders>
            <w:vAlign w:val="center"/>
            <w:hideMark/>
          </w:tcPr>
          <w:p w14:paraId="7838BE22" w14:textId="77777777" w:rsidR="00A95558" w:rsidRPr="00450FB4" w:rsidRDefault="00D67080" w:rsidP="00A95558">
            <w:pPr>
              <w:widowControl/>
              <w:autoSpaceDE/>
              <w:autoSpaceDN/>
              <w:jc w:val="both"/>
              <w:rPr>
                <w:sz w:val="20"/>
                <w:szCs w:val="20"/>
                <w:lang w:eastAsia="en-IN"/>
              </w:rPr>
            </w:pPr>
            <w:r w:rsidRPr="00450FB4">
              <w:rPr>
                <w:sz w:val="20"/>
                <w:szCs w:val="20"/>
                <w:lang w:eastAsia="en-IN"/>
              </w:rPr>
              <w:t>6</w:t>
            </w:r>
          </w:p>
        </w:tc>
        <w:tc>
          <w:tcPr>
            <w:tcW w:w="1098" w:type="pct"/>
            <w:tcBorders>
              <w:bottom w:val="single" w:sz="4" w:space="0" w:color="auto"/>
            </w:tcBorders>
            <w:vAlign w:val="center"/>
            <w:hideMark/>
          </w:tcPr>
          <w:p w14:paraId="33E31411" w14:textId="77777777" w:rsidR="00A95558" w:rsidRPr="00450FB4" w:rsidRDefault="00D67080" w:rsidP="00A95558">
            <w:pPr>
              <w:widowControl/>
              <w:autoSpaceDE/>
              <w:autoSpaceDN/>
              <w:rPr>
                <w:sz w:val="20"/>
                <w:szCs w:val="20"/>
                <w:lang w:eastAsia="en-IN"/>
              </w:rPr>
            </w:pPr>
            <w:r w:rsidRPr="00450FB4">
              <w:rPr>
                <w:sz w:val="20"/>
                <w:szCs w:val="20"/>
                <w:lang w:eastAsia="en-IN"/>
              </w:rPr>
              <w:t>Acquirer Size</w:t>
            </w:r>
          </w:p>
        </w:tc>
        <w:tc>
          <w:tcPr>
            <w:tcW w:w="459" w:type="pct"/>
            <w:tcBorders>
              <w:bottom w:val="single" w:sz="4" w:space="0" w:color="auto"/>
            </w:tcBorders>
            <w:vAlign w:val="center"/>
            <w:hideMark/>
          </w:tcPr>
          <w:p w14:paraId="29859171" w14:textId="77777777" w:rsidR="00A95558" w:rsidRPr="00450FB4" w:rsidRDefault="00D67080" w:rsidP="00A95558">
            <w:pPr>
              <w:widowControl/>
              <w:autoSpaceDE/>
              <w:autoSpaceDN/>
              <w:rPr>
                <w:sz w:val="20"/>
                <w:szCs w:val="20"/>
                <w:lang w:eastAsia="en-IN"/>
              </w:rPr>
            </w:pPr>
            <w:r w:rsidRPr="00450FB4">
              <w:rPr>
                <w:sz w:val="20"/>
                <w:szCs w:val="20"/>
                <w:lang w:eastAsia="en-IN"/>
              </w:rPr>
              <w:t>AS</w:t>
            </w:r>
          </w:p>
        </w:tc>
        <w:tc>
          <w:tcPr>
            <w:tcW w:w="3112" w:type="pct"/>
            <w:tcBorders>
              <w:bottom w:val="single" w:sz="4" w:space="0" w:color="auto"/>
            </w:tcBorders>
            <w:vAlign w:val="center"/>
            <w:hideMark/>
          </w:tcPr>
          <w:p w14:paraId="0429578C" w14:textId="77777777" w:rsidR="00A95558" w:rsidRPr="00450FB4" w:rsidRDefault="00D67080" w:rsidP="00A95558">
            <w:pPr>
              <w:widowControl/>
              <w:autoSpaceDE/>
              <w:autoSpaceDN/>
              <w:rPr>
                <w:sz w:val="20"/>
                <w:szCs w:val="20"/>
                <w:lang w:eastAsia="en-IN"/>
              </w:rPr>
            </w:pPr>
            <w:r w:rsidRPr="00450FB4">
              <w:rPr>
                <w:sz w:val="20"/>
                <w:szCs w:val="20"/>
                <w:lang w:eastAsia="en-IN"/>
              </w:rPr>
              <w:t>Acquirers Size = Natural logarithm of total Assets</w:t>
            </w:r>
          </w:p>
        </w:tc>
      </w:tr>
    </w:tbl>
    <w:p w14:paraId="2A21EB2C" w14:textId="77777777" w:rsidR="00A95558" w:rsidRPr="00450FB4" w:rsidRDefault="00A95558" w:rsidP="00A95558">
      <w:pPr>
        <w:widowControl/>
        <w:suppressAutoHyphens/>
        <w:autoSpaceDE/>
        <w:autoSpaceDN/>
        <w:jc w:val="both"/>
        <w:rPr>
          <w:b/>
          <w:bCs/>
          <w:color w:val="000000"/>
          <w:kern w:val="1"/>
          <w:sz w:val="24"/>
          <w:szCs w:val="24"/>
          <w:u w:val="single"/>
          <w:lang w:eastAsia="ar-SA"/>
        </w:rPr>
      </w:pPr>
    </w:p>
    <w:p w14:paraId="7247C6EE" w14:textId="77777777" w:rsidR="00A95558" w:rsidRPr="00450FB4" w:rsidRDefault="00D67080" w:rsidP="00A95558">
      <w:pPr>
        <w:widowControl/>
        <w:suppressAutoHyphens/>
        <w:autoSpaceDE/>
        <w:autoSpaceDN/>
        <w:spacing w:before="240"/>
        <w:jc w:val="both"/>
        <w:rPr>
          <w:color w:val="000000"/>
          <w:kern w:val="1"/>
          <w:sz w:val="24"/>
          <w:szCs w:val="24"/>
          <w:lang w:eastAsia="ar-SA"/>
        </w:rPr>
      </w:pPr>
      <w:r w:rsidRPr="00450FB4">
        <w:rPr>
          <w:color w:val="000000"/>
          <w:kern w:val="1"/>
          <w:sz w:val="24"/>
          <w:szCs w:val="24"/>
          <w:lang w:eastAsia="ar-SA"/>
        </w:rPr>
        <w:t>Based on the comprehensive data framework outlined in Table 1, essential relative variables for empirical analysis were computed.</w:t>
      </w:r>
    </w:p>
    <w:p w14:paraId="46A79165" w14:textId="77777777" w:rsidR="00A95558" w:rsidRPr="00450FB4" w:rsidRDefault="00D67080" w:rsidP="00A95558">
      <w:pPr>
        <w:widowControl/>
        <w:tabs>
          <w:tab w:val="left" w:pos="426"/>
        </w:tabs>
        <w:suppressAutoHyphens/>
        <w:autoSpaceDE/>
        <w:autoSpaceDN/>
        <w:spacing w:before="240"/>
        <w:jc w:val="both"/>
        <w:rPr>
          <w:bCs/>
          <w:i/>
          <w:iCs/>
          <w:color w:val="000000"/>
          <w:kern w:val="1"/>
          <w:sz w:val="24"/>
          <w:szCs w:val="24"/>
          <w:lang w:eastAsia="ar-SA"/>
        </w:rPr>
      </w:pPr>
      <w:r w:rsidRPr="00450FB4">
        <w:rPr>
          <w:b/>
          <w:bCs/>
          <w:i/>
          <w:iCs/>
          <w:color w:val="000000"/>
          <w:kern w:val="1"/>
          <w:sz w:val="24"/>
          <w:szCs w:val="24"/>
          <w:lang w:eastAsia="ar-SA"/>
        </w:rPr>
        <w:t>3.3 Sample</w:t>
      </w:r>
    </w:p>
    <w:p w14:paraId="2581B020"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The sample was selected based on the following criteria:</w:t>
      </w:r>
    </w:p>
    <w:p w14:paraId="7B4E8CB2"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a. Acquiring companies listed on the Indian National Stock Exchange, with M&amp;A announcements and investments from January 2010 to April 2023.</w:t>
      </w:r>
    </w:p>
    <w:p w14:paraId="0F787709"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b. Fintech firms were identified through individual assessment, as fintech firms are not specifically defined in the Bloomberg database, initially considering all firms in the financial and technology sectors.</w:t>
      </w:r>
    </w:p>
    <w:p w14:paraId="1B7B5D2D"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lastRenderedPageBreak/>
        <w:t>c. Software and financial consultancy firms were excluded from consideration as target firms.</w:t>
      </w:r>
    </w:p>
    <w:p w14:paraId="66B25712"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d. Acquiring companies involved in additional exceptional events (e.g., public share announcements, bonus shares, dividends, multiple M&amp;A announcements outside the study period) within a 60-day event window were excluded.</w:t>
      </w:r>
    </w:p>
    <w:p w14:paraId="62C33191"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e. Acquiring firms with consistently available price information and synchronised data were included.</w:t>
      </w:r>
    </w:p>
    <w:p w14:paraId="75517452" w14:textId="77777777" w:rsidR="00A95558" w:rsidRPr="00450FB4" w:rsidRDefault="00D67080" w:rsidP="00A95558">
      <w:pPr>
        <w:widowControl/>
        <w:suppressAutoHyphens/>
        <w:autoSpaceDE/>
        <w:autoSpaceDN/>
        <w:jc w:val="both"/>
        <w:rPr>
          <w:bCs/>
          <w:color w:val="000000"/>
          <w:kern w:val="1"/>
          <w:sz w:val="24"/>
          <w:szCs w:val="24"/>
          <w:lang w:eastAsia="ar-SA"/>
        </w:rPr>
      </w:pPr>
      <w:r w:rsidRPr="00450FB4">
        <w:rPr>
          <w:bCs/>
          <w:color w:val="000000"/>
          <w:kern w:val="1"/>
          <w:sz w:val="24"/>
          <w:szCs w:val="24"/>
          <w:lang w:eastAsia="ar-SA"/>
        </w:rPr>
        <w:t>These criteria led to the selection of 155 sample firms. Table 2 provides a summarised overview of the screening process.</w:t>
      </w:r>
    </w:p>
    <w:p w14:paraId="50E8562A" w14:textId="77777777" w:rsidR="00A95558" w:rsidRPr="00450FB4" w:rsidRDefault="00A95558" w:rsidP="00A95558">
      <w:pPr>
        <w:widowControl/>
        <w:suppressAutoHyphens/>
        <w:autoSpaceDE/>
        <w:autoSpaceDN/>
        <w:jc w:val="both"/>
        <w:rPr>
          <w:b/>
          <w:color w:val="000000"/>
          <w:kern w:val="1"/>
          <w:sz w:val="24"/>
          <w:szCs w:val="24"/>
          <w:u w:val="single"/>
          <w:lang w:eastAsia="ar-SA"/>
        </w:rPr>
      </w:pPr>
    </w:p>
    <w:p w14:paraId="7C3E6424" w14:textId="77777777" w:rsidR="00A95558" w:rsidRPr="00450FB4" w:rsidRDefault="00D67080" w:rsidP="00A95558">
      <w:pPr>
        <w:widowControl/>
        <w:suppressAutoHyphens/>
        <w:autoSpaceDE/>
        <w:autoSpaceDN/>
        <w:jc w:val="center"/>
        <w:rPr>
          <w:color w:val="0E101A"/>
          <w:kern w:val="1"/>
          <w:sz w:val="24"/>
          <w:szCs w:val="24"/>
          <w:lang w:eastAsia="ar-SA"/>
        </w:rPr>
      </w:pPr>
      <w:r w:rsidRPr="00450FB4">
        <w:rPr>
          <w:b/>
          <w:color w:val="000000"/>
          <w:kern w:val="1"/>
          <w:sz w:val="24"/>
          <w:szCs w:val="24"/>
          <w:lang w:eastAsia="ar-SA"/>
        </w:rPr>
        <w:t>Table 2: Sample Selection</w:t>
      </w:r>
    </w:p>
    <w:tbl>
      <w:tblPr>
        <w:tblpPr w:leftFromText="180" w:rightFromText="180" w:vertAnchor="text" w:tblpXSpec="center" w:tblpY="1"/>
        <w:tblOverlap w:val="never"/>
        <w:tblW w:w="5000" w:type="pct"/>
        <w:tblBorders>
          <w:top w:val="single" w:sz="4" w:space="0" w:color="auto"/>
          <w:bottom w:val="single" w:sz="4" w:space="0" w:color="auto"/>
        </w:tblBorders>
        <w:tblLook w:val="04A0" w:firstRow="1" w:lastRow="0" w:firstColumn="1" w:lastColumn="0" w:noHBand="0" w:noVBand="1"/>
      </w:tblPr>
      <w:tblGrid>
        <w:gridCol w:w="6354"/>
        <w:gridCol w:w="1346"/>
      </w:tblGrid>
      <w:tr w:rsidR="00161788" w:rsidRPr="00450FB4" w14:paraId="089815EF" w14:textId="77777777" w:rsidTr="000C7E69">
        <w:trPr>
          <w:trHeight w:val="530"/>
        </w:trPr>
        <w:tc>
          <w:tcPr>
            <w:tcW w:w="4126" w:type="pct"/>
            <w:tcBorders>
              <w:top w:val="single" w:sz="4" w:space="0" w:color="auto"/>
              <w:bottom w:val="single" w:sz="4" w:space="0" w:color="auto"/>
            </w:tcBorders>
            <w:shd w:val="clear" w:color="auto" w:fill="auto"/>
          </w:tcPr>
          <w:p w14:paraId="0094C5F3" w14:textId="77777777" w:rsidR="00A95558" w:rsidRPr="00450FB4" w:rsidRDefault="00D67080" w:rsidP="00A95558">
            <w:pPr>
              <w:widowControl/>
              <w:suppressAutoHyphens/>
              <w:autoSpaceDE/>
              <w:autoSpaceDN/>
              <w:jc w:val="both"/>
              <w:rPr>
                <w:rFonts w:eastAsia="Calibri"/>
                <w:b/>
                <w:bCs/>
                <w:kern w:val="1"/>
                <w:sz w:val="24"/>
                <w:szCs w:val="24"/>
                <w:lang w:eastAsia="ar-SA"/>
              </w:rPr>
            </w:pPr>
            <w:r w:rsidRPr="00450FB4">
              <w:rPr>
                <w:rFonts w:eastAsia="Calibri"/>
                <w:b/>
                <w:bCs/>
                <w:kern w:val="1"/>
                <w:sz w:val="24"/>
                <w:szCs w:val="24"/>
                <w:lang w:eastAsia="ar-SA"/>
              </w:rPr>
              <w:t>Criteria for selection of sample</w:t>
            </w:r>
          </w:p>
        </w:tc>
        <w:tc>
          <w:tcPr>
            <w:tcW w:w="874" w:type="pct"/>
            <w:tcBorders>
              <w:top w:val="single" w:sz="4" w:space="0" w:color="auto"/>
              <w:bottom w:val="single" w:sz="4" w:space="0" w:color="auto"/>
            </w:tcBorders>
            <w:shd w:val="clear" w:color="auto" w:fill="auto"/>
          </w:tcPr>
          <w:p w14:paraId="667A9AF8" w14:textId="77777777" w:rsidR="00A95558" w:rsidRPr="00450FB4" w:rsidRDefault="00D67080" w:rsidP="00A95558">
            <w:pPr>
              <w:widowControl/>
              <w:suppressAutoHyphens/>
              <w:autoSpaceDE/>
              <w:autoSpaceDN/>
              <w:jc w:val="center"/>
              <w:rPr>
                <w:rFonts w:eastAsia="Calibri"/>
                <w:b/>
                <w:bCs/>
                <w:kern w:val="1"/>
                <w:sz w:val="24"/>
                <w:szCs w:val="24"/>
                <w:lang w:eastAsia="ar-SA"/>
              </w:rPr>
            </w:pPr>
            <w:r w:rsidRPr="00450FB4">
              <w:rPr>
                <w:rFonts w:eastAsia="Calibri"/>
                <w:b/>
                <w:bCs/>
                <w:kern w:val="1"/>
                <w:sz w:val="24"/>
                <w:szCs w:val="24"/>
                <w:lang w:eastAsia="ar-SA"/>
              </w:rPr>
              <w:t>Number of firms</w:t>
            </w:r>
          </w:p>
        </w:tc>
      </w:tr>
      <w:tr w:rsidR="00161788" w:rsidRPr="00450FB4" w14:paraId="09A3D120" w14:textId="77777777" w:rsidTr="000C7E69">
        <w:tc>
          <w:tcPr>
            <w:tcW w:w="4126" w:type="pct"/>
            <w:tcBorders>
              <w:top w:val="single" w:sz="4" w:space="0" w:color="auto"/>
            </w:tcBorders>
            <w:shd w:val="clear" w:color="auto" w:fill="auto"/>
            <w:vAlign w:val="center"/>
          </w:tcPr>
          <w:p w14:paraId="4D8E17BD"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Total number of M&amp;A, including investments, announced from Jan 2010 to Apr 2023, including partial acquisition with acquisition by Indian acquiring firms.</w:t>
            </w:r>
          </w:p>
        </w:tc>
        <w:tc>
          <w:tcPr>
            <w:tcW w:w="874" w:type="pct"/>
            <w:tcBorders>
              <w:top w:val="single" w:sz="4" w:space="0" w:color="auto"/>
            </w:tcBorders>
            <w:shd w:val="clear" w:color="auto" w:fill="auto"/>
            <w:vAlign w:val="center"/>
          </w:tcPr>
          <w:p w14:paraId="5F31840D"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18776</w:t>
            </w:r>
          </w:p>
        </w:tc>
      </w:tr>
      <w:tr w:rsidR="00161788" w:rsidRPr="00450FB4" w14:paraId="4461BB60" w14:textId="77777777" w:rsidTr="000C7E69">
        <w:tc>
          <w:tcPr>
            <w:tcW w:w="4126" w:type="pct"/>
            <w:shd w:val="clear" w:color="auto" w:fill="auto"/>
            <w:vAlign w:val="center"/>
          </w:tcPr>
          <w:p w14:paraId="6C9A6967"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There are fewer samples where the acquisition was announced but not completed.</w:t>
            </w:r>
          </w:p>
        </w:tc>
        <w:tc>
          <w:tcPr>
            <w:tcW w:w="874" w:type="pct"/>
            <w:shd w:val="clear" w:color="auto" w:fill="auto"/>
            <w:vAlign w:val="center"/>
          </w:tcPr>
          <w:p w14:paraId="7ACA77C5"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3990</w:t>
            </w:r>
          </w:p>
        </w:tc>
      </w:tr>
      <w:tr w:rsidR="00161788" w:rsidRPr="00450FB4" w14:paraId="29DEC2E4" w14:textId="77777777" w:rsidTr="000C7E69">
        <w:tc>
          <w:tcPr>
            <w:tcW w:w="4126" w:type="pct"/>
            <w:shd w:val="clear" w:color="auto" w:fill="auto"/>
            <w:vAlign w:val="center"/>
          </w:tcPr>
          <w:p w14:paraId="745E209F"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The total number of M&amp;As, including investments, announced from Jan 2010 to Apr 2023, including partial acquisitions, with acquisitions by Indian acquiring firms, are completed.</w:t>
            </w:r>
          </w:p>
        </w:tc>
        <w:tc>
          <w:tcPr>
            <w:tcW w:w="874" w:type="pct"/>
            <w:shd w:val="clear" w:color="auto" w:fill="auto"/>
            <w:vAlign w:val="center"/>
          </w:tcPr>
          <w:p w14:paraId="5A16704B"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14786</w:t>
            </w:r>
          </w:p>
        </w:tc>
      </w:tr>
      <w:tr w:rsidR="00161788" w:rsidRPr="00450FB4" w14:paraId="1980C3AD" w14:textId="77777777" w:rsidTr="000C7E69">
        <w:tc>
          <w:tcPr>
            <w:tcW w:w="4126" w:type="pct"/>
            <w:shd w:val="clear" w:color="auto" w:fill="auto"/>
            <w:vAlign w:val="center"/>
          </w:tcPr>
          <w:p w14:paraId="61E76FE8"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Less number of acquisitions in the non-financial and technology sector</w:t>
            </w:r>
          </w:p>
        </w:tc>
        <w:tc>
          <w:tcPr>
            <w:tcW w:w="874" w:type="pct"/>
            <w:shd w:val="clear" w:color="auto" w:fill="auto"/>
            <w:vAlign w:val="center"/>
          </w:tcPr>
          <w:p w14:paraId="06BCF146"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5577</w:t>
            </w:r>
          </w:p>
        </w:tc>
      </w:tr>
      <w:tr w:rsidR="00161788" w:rsidRPr="00450FB4" w14:paraId="4E3A50E5" w14:textId="77777777" w:rsidTr="000C7E69">
        <w:tc>
          <w:tcPr>
            <w:tcW w:w="4126" w:type="pct"/>
            <w:shd w:val="clear" w:color="auto" w:fill="auto"/>
            <w:vAlign w:val="center"/>
          </w:tcPr>
          <w:p w14:paraId="7BDF94FE"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 xml:space="preserve">The total number of M&amp;As, including investments, announced from Jan 2010 to Apr 2023, including partial acquisitions, with acquisitions by Indian acquiring firms, which are completed in </w:t>
            </w:r>
            <w:r w:rsidR="00240B98" w:rsidRPr="00450FB4">
              <w:rPr>
                <w:rFonts w:eastAsia="Calibri"/>
                <w:kern w:val="1"/>
                <w:sz w:val="24"/>
                <w:szCs w:val="24"/>
                <w:lang w:eastAsia="ar-SA"/>
              </w:rPr>
              <w:t xml:space="preserve">the </w:t>
            </w:r>
            <w:r w:rsidRPr="00450FB4">
              <w:rPr>
                <w:rFonts w:eastAsia="Calibri"/>
                <w:kern w:val="1"/>
                <w:sz w:val="24"/>
                <w:szCs w:val="24"/>
                <w:lang w:eastAsia="ar-SA"/>
              </w:rPr>
              <w:t xml:space="preserve">financial and technology sector. </w:t>
            </w:r>
          </w:p>
        </w:tc>
        <w:tc>
          <w:tcPr>
            <w:tcW w:w="874" w:type="pct"/>
            <w:shd w:val="clear" w:color="auto" w:fill="auto"/>
            <w:vAlign w:val="center"/>
          </w:tcPr>
          <w:p w14:paraId="4B63C99C"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9209</w:t>
            </w:r>
          </w:p>
        </w:tc>
      </w:tr>
      <w:tr w:rsidR="00161788" w:rsidRPr="00450FB4" w14:paraId="59108033" w14:textId="77777777" w:rsidTr="000C7E69">
        <w:tc>
          <w:tcPr>
            <w:tcW w:w="4126" w:type="pct"/>
            <w:shd w:val="clear" w:color="auto" w:fill="auto"/>
            <w:vAlign w:val="center"/>
          </w:tcPr>
          <w:p w14:paraId="2E3E3842"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 xml:space="preserve">Less number of acquisitions where the target firms are not fintech firms </w:t>
            </w:r>
          </w:p>
        </w:tc>
        <w:tc>
          <w:tcPr>
            <w:tcW w:w="874" w:type="pct"/>
            <w:shd w:val="clear" w:color="auto" w:fill="auto"/>
            <w:vAlign w:val="center"/>
          </w:tcPr>
          <w:p w14:paraId="2401185D"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8737</w:t>
            </w:r>
          </w:p>
        </w:tc>
      </w:tr>
      <w:tr w:rsidR="00161788" w:rsidRPr="00450FB4" w14:paraId="10FACFE0" w14:textId="77777777" w:rsidTr="000C7E69">
        <w:tc>
          <w:tcPr>
            <w:tcW w:w="4126" w:type="pct"/>
            <w:shd w:val="clear" w:color="auto" w:fill="auto"/>
            <w:vAlign w:val="center"/>
          </w:tcPr>
          <w:p w14:paraId="69130B40"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The total number of M&amp;As, including investments, announced from Jan 2010 to Apr 2023, including partial acquisitions, with acquisitions by Indian acquiring firms, which are completed in the financial and technology sector, where the target firms are fintech firms.</w:t>
            </w:r>
          </w:p>
        </w:tc>
        <w:tc>
          <w:tcPr>
            <w:tcW w:w="874" w:type="pct"/>
            <w:shd w:val="clear" w:color="auto" w:fill="auto"/>
            <w:vAlign w:val="center"/>
          </w:tcPr>
          <w:p w14:paraId="1AA39794"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472</w:t>
            </w:r>
          </w:p>
        </w:tc>
      </w:tr>
      <w:tr w:rsidR="00161788" w:rsidRPr="00450FB4" w14:paraId="7D576DEF" w14:textId="77777777" w:rsidTr="000C7E69">
        <w:tc>
          <w:tcPr>
            <w:tcW w:w="4126" w:type="pct"/>
            <w:shd w:val="clear" w:color="auto" w:fill="auto"/>
            <w:vAlign w:val="center"/>
          </w:tcPr>
          <w:p w14:paraId="01058651"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 xml:space="preserve">Number of samples rejected because of multiple events e.g., bonus issues, IPO issues, dividend payments, in event window, </w:t>
            </w:r>
            <w:r w:rsidRPr="00450FB4">
              <w:rPr>
                <w:rFonts w:eastAsia="Calibri"/>
                <w:kern w:val="1"/>
                <w:sz w:val="24"/>
                <w:szCs w:val="24"/>
                <w:lang w:eastAsia="ar-SA"/>
              </w:rPr>
              <w:lastRenderedPageBreak/>
              <w:t xml:space="preserve">incoherence data in event window, non-availability of names and data of acquiring firms. </w:t>
            </w:r>
          </w:p>
        </w:tc>
        <w:tc>
          <w:tcPr>
            <w:tcW w:w="874" w:type="pct"/>
            <w:shd w:val="clear" w:color="auto" w:fill="auto"/>
            <w:vAlign w:val="center"/>
          </w:tcPr>
          <w:p w14:paraId="4BFE7EE8"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lastRenderedPageBreak/>
              <w:t>317</w:t>
            </w:r>
          </w:p>
        </w:tc>
      </w:tr>
      <w:tr w:rsidR="00161788" w:rsidRPr="00450FB4" w14:paraId="20CF7BC8" w14:textId="77777777" w:rsidTr="000C7E69">
        <w:tc>
          <w:tcPr>
            <w:tcW w:w="4126" w:type="pct"/>
            <w:shd w:val="clear" w:color="auto" w:fill="auto"/>
            <w:vAlign w:val="center"/>
          </w:tcPr>
          <w:p w14:paraId="1E216575"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 xml:space="preserve">Total number of M&amp;A, including investments, announced from Jan 2010 to Apr 2023, including partial acquisition and acquisition by Indian acquiring firms, which are completed, in </w:t>
            </w:r>
            <w:r w:rsidR="00240B98" w:rsidRPr="00450FB4">
              <w:rPr>
                <w:rFonts w:eastAsia="Calibri"/>
                <w:kern w:val="1"/>
                <w:sz w:val="24"/>
                <w:szCs w:val="24"/>
                <w:lang w:eastAsia="ar-SA"/>
              </w:rPr>
              <w:t xml:space="preserve">the </w:t>
            </w:r>
            <w:r w:rsidRPr="00450FB4">
              <w:rPr>
                <w:rFonts w:eastAsia="Calibri"/>
                <w:kern w:val="1"/>
                <w:sz w:val="24"/>
                <w:szCs w:val="24"/>
                <w:lang w:eastAsia="ar-SA"/>
              </w:rPr>
              <w:t>financial and technology sector, where the target firms are fintech firms.</w:t>
            </w:r>
          </w:p>
        </w:tc>
        <w:tc>
          <w:tcPr>
            <w:tcW w:w="874" w:type="pct"/>
            <w:shd w:val="clear" w:color="auto" w:fill="auto"/>
            <w:vAlign w:val="center"/>
          </w:tcPr>
          <w:p w14:paraId="023E0842" w14:textId="77777777" w:rsidR="00A95558" w:rsidRPr="00450FB4" w:rsidRDefault="00D67080" w:rsidP="00A95558">
            <w:pPr>
              <w:widowControl/>
              <w:suppressAutoHyphens/>
              <w:autoSpaceDE/>
              <w:autoSpaceDN/>
              <w:spacing w:after="160"/>
              <w:jc w:val="center"/>
              <w:rPr>
                <w:color w:val="000000"/>
                <w:kern w:val="1"/>
                <w:sz w:val="24"/>
                <w:szCs w:val="24"/>
                <w:lang w:eastAsia="ar-SA"/>
              </w:rPr>
            </w:pPr>
            <w:r w:rsidRPr="00450FB4">
              <w:rPr>
                <w:color w:val="000000"/>
                <w:kern w:val="1"/>
                <w:sz w:val="24"/>
                <w:szCs w:val="24"/>
                <w:lang w:eastAsia="ar-SA"/>
              </w:rPr>
              <w:t>155</w:t>
            </w:r>
          </w:p>
        </w:tc>
      </w:tr>
    </w:tbl>
    <w:p w14:paraId="52CC7D27" w14:textId="77777777" w:rsidR="00A95558" w:rsidRPr="00450FB4" w:rsidRDefault="00D67080" w:rsidP="00A95558">
      <w:pPr>
        <w:widowControl/>
        <w:suppressAutoHyphens/>
        <w:autoSpaceDE/>
        <w:autoSpaceDN/>
        <w:jc w:val="both"/>
        <w:rPr>
          <w:i/>
          <w:iCs/>
          <w:color w:val="0E101A"/>
          <w:kern w:val="1"/>
          <w:sz w:val="20"/>
          <w:szCs w:val="20"/>
          <w:lang w:eastAsia="ar-SA"/>
        </w:rPr>
      </w:pPr>
      <w:r w:rsidRPr="00450FB4">
        <w:rPr>
          <w:b/>
          <w:bCs/>
          <w:i/>
          <w:iCs/>
          <w:color w:val="0E101A"/>
          <w:kern w:val="1"/>
          <w:sz w:val="20"/>
          <w:szCs w:val="20"/>
          <w:lang w:eastAsia="ar-SA"/>
        </w:rPr>
        <w:t>Note:</w:t>
      </w:r>
      <w:r w:rsidRPr="00450FB4">
        <w:rPr>
          <w:i/>
          <w:iCs/>
          <w:color w:val="0E101A"/>
          <w:kern w:val="1"/>
          <w:sz w:val="20"/>
          <w:szCs w:val="20"/>
          <w:lang w:eastAsia="ar-SA"/>
        </w:rPr>
        <w:t> T</w:t>
      </w:r>
      <w:r w:rsidR="00240B98" w:rsidRPr="00450FB4">
        <w:rPr>
          <w:i/>
          <w:iCs/>
          <w:color w:val="0E101A"/>
          <w:kern w:val="1"/>
          <w:sz w:val="20"/>
          <w:szCs w:val="20"/>
          <w:lang w:eastAsia="ar-SA"/>
        </w:rPr>
        <w:t>he t</w:t>
      </w:r>
      <w:r w:rsidRPr="00450FB4">
        <w:rPr>
          <w:i/>
          <w:iCs/>
          <w:color w:val="0E101A"/>
          <w:kern w:val="1"/>
          <w:sz w:val="20"/>
          <w:szCs w:val="20"/>
          <w:lang w:eastAsia="ar-SA"/>
        </w:rPr>
        <w:t>able shows the sample selected for the research taken from the Bloomberg database. The 155-sample includes all listed acquiring firms in NSE, which have acquired fintech target firms from Jan 2010 to Apr 2023. It also shows the details of the total available sample and the basis of sample selection.</w:t>
      </w:r>
    </w:p>
    <w:p w14:paraId="09EA1551" w14:textId="77777777" w:rsidR="00A95558" w:rsidRPr="00450FB4" w:rsidRDefault="00A95558" w:rsidP="00A95558">
      <w:pPr>
        <w:widowControl/>
        <w:tabs>
          <w:tab w:val="left" w:pos="426"/>
        </w:tabs>
        <w:suppressAutoHyphens/>
        <w:autoSpaceDE/>
        <w:autoSpaceDN/>
        <w:jc w:val="both"/>
        <w:rPr>
          <w:b/>
          <w:bCs/>
          <w:iCs/>
          <w:color w:val="000000"/>
          <w:kern w:val="1"/>
          <w:sz w:val="24"/>
          <w:szCs w:val="24"/>
          <w:lang w:eastAsia="ar-SA"/>
        </w:rPr>
      </w:pPr>
    </w:p>
    <w:p w14:paraId="74407739" w14:textId="77777777" w:rsidR="00A95558" w:rsidRPr="00450FB4" w:rsidRDefault="00D67080" w:rsidP="00A95558">
      <w:pPr>
        <w:widowControl/>
        <w:tabs>
          <w:tab w:val="left" w:pos="426"/>
        </w:tabs>
        <w:suppressAutoHyphens/>
        <w:autoSpaceDE/>
        <w:autoSpaceDN/>
        <w:jc w:val="both"/>
        <w:rPr>
          <w:b/>
          <w:bCs/>
          <w:i/>
          <w:color w:val="000000"/>
          <w:kern w:val="1"/>
          <w:sz w:val="24"/>
          <w:szCs w:val="24"/>
          <w:lang w:eastAsia="ar-SA"/>
        </w:rPr>
      </w:pPr>
      <w:r w:rsidRPr="00450FB4">
        <w:rPr>
          <w:b/>
          <w:bCs/>
          <w:i/>
          <w:color w:val="000000"/>
          <w:kern w:val="1"/>
          <w:sz w:val="24"/>
          <w:szCs w:val="24"/>
          <w:lang w:eastAsia="ar-SA"/>
        </w:rPr>
        <w:t>3.4 Data Collection</w:t>
      </w:r>
    </w:p>
    <w:p w14:paraId="682ACBC0"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Initially, the study identified 155 samples based on criteria outlined in Table 2 from the Bloomberg database. Subsequently, financial parameters such as ROA, NPM, ASP, CR, FL, and AS were extracted for three years before and after the mergers. ROA, NPM, and CR were derived from financial ratios available in Bloomberg. ASP in INR was calculated as the average maximum and minimum share prices for the respective years. FL, defined as total debt to equity reported as a percentage, and AS, representing the logarithmic value of total assets in a million INR from Bloomberg, were also analysed. </w:t>
      </w:r>
    </w:p>
    <w:p w14:paraId="4CD7834E" w14:textId="77777777" w:rsidR="00A95558" w:rsidRPr="00450FB4" w:rsidRDefault="00A95558" w:rsidP="00A95558">
      <w:pPr>
        <w:widowControl/>
        <w:suppressAutoHyphens/>
        <w:autoSpaceDE/>
        <w:autoSpaceDN/>
        <w:jc w:val="both"/>
        <w:rPr>
          <w:b/>
          <w:bCs/>
          <w:color w:val="000000"/>
          <w:kern w:val="1"/>
          <w:sz w:val="24"/>
          <w:szCs w:val="24"/>
          <w:lang w:eastAsia="ar-SA"/>
        </w:rPr>
      </w:pPr>
    </w:p>
    <w:p w14:paraId="02D51929" w14:textId="77777777" w:rsidR="00A95558" w:rsidRPr="00450FB4" w:rsidRDefault="00D67080" w:rsidP="00A95558">
      <w:pPr>
        <w:widowControl/>
        <w:tabs>
          <w:tab w:val="left" w:pos="426"/>
        </w:tabs>
        <w:suppressAutoHyphens/>
        <w:autoSpaceDE/>
        <w:autoSpaceDN/>
        <w:jc w:val="both"/>
        <w:rPr>
          <w:i/>
          <w:iCs/>
          <w:color w:val="000000"/>
          <w:kern w:val="1"/>
          <w:sz w:val="24"/>
          <w:szCs w:val="24"/>
          <w:lang w:eastAsia="ar-SA"/>
        </w:rPr>
      </w:pPr>
      <w:r w:rsidRPr="00450FB4">
        <w:rPr>
          <w:b/>
          <w:bCs/>
          <w:i/>
          <w:iCs/>
          <w:color w:val="000000"/>
          <w:kern w:val="1"/>
          <w:sz w:val="24"/>
          <w:szCs w:val="24"/>
          <w:lang w:eastAsia="ar-SA"/>
        </w:rPr>
        <w:t>3.5 Methodological Discussion</w:t>
      </w:r>
    </w:p>
    <w:p w14:paraId="4432FADC"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The study employs a two-step estimation approach. In the first step, paired-sample t-tests at a 5 percent significance level assess performance differences before and after the M&amp;A period. The study used three years (+3, -3), aligning with recommendations from analysts and researchers for sufficient evaluation time (Akhtar &amp; Nosheen, 2022; Bruhn et al., 2017; Rashid &amp; Naeem, 2017).</w:t>
      </w:r>
    </w:p>
    <w:p w14:paraId="72CE8FE8" w14:textId="77777777" w:rsidR="00A95558" w:rsidRPr="00450FB4" w:rsidRDefault="00D67080" w:rsidP="00A95558">
      <w:pPr>
        <w:widowControl/>
        <w:suppressAutoHyphens/>
        <w:autoSpaceDE/>
        <w:autoSpaceDN/>
        <w:spacing w:before="240"/>
        <w:jc w:val="both"/>
        <w:rPr>
          <w:color w:val="000000"/>
          <w:kern w:val="1"/>
          <w:sz w:val="24"/>
          <w:szCs w:val="24"/>
          <w:lang w:eastAsia="ar-SA"/>
        </w:rPr>
      </w:pPr>
      <w:r w:rsidRPr="00450FB4">
        <w:rPr>
          <w:color w:val="000000"/>
          <w:kern w:val="1"/>
          <w:sz w:val="24"/>
          <w:szCs w:val="24"/>
          <w:lang w:eastAsia="ar-SA"/>
        </w:rPr>
        <w:t xml:space="preserve">The second step uses a panel regression method, incorporating cross-sections over a specified period. Despite employing fixed effect panel regression, issues of heteroskedasticity and endogeneity persisted in the models. To address these challenges, the study employs the Generalized Method of Moments (GMM), specifically the two-step GMM (2SGMM) introduced by Hansen (1982). This approach provides a generalisation of various estimation methods like least squares (LS), instrumental variables (IV), and maximum likelihood (ML), offering robustness against misspecification. However, empirical studies indicate that 2SGMM may exhibit biases in small samples. To mitigate this, Hansen et al. (1996) proposed alternative GMM approaches: iterative GMM (ITGMM) and </w:t>
      </w:r>
      <w:r w:rsidRPr="00450FB4">
        <w:rPr>
          <w:color w:val="000000"/>
          <w:kern w:val="1"/>
          <w:sz w:val="24"/>
          <w:szCs w:val="24"/>
          <w:lang w:eastAsia="ar-SA"/>
        </w:rPr>
        <w:lastRenderedPageBreak/>
        <w:t>continuous updated GMM (CUE). In this study, the interactive method is utilised to address these considerations.</w:t>
      </w:r>
    </w:p>
    <w:p w14:paraId="79739AC8" w14:textId="77777777" w:rsidR="00A95558" w:rsidRPr="00450FB4" w:rsidRDefault="00A95558" w:rsidP="00A95558">
      <w:pPr>
        <w:widowControl/>
        <w:suppressAutoHyphens/>
        <w:autoSpaceDE/>
        <w:autoSpaceDN/>
        <w:jc w:val="both"/>
        <w:rPr>
          <w:color w:val="000000"/>
          <w:kern w:val="1"/>
          <w:sz w:val="24"/>
          <w:szCs w:val="24"/>
          <w:lang w:eastAsia="ar-SA"/>
        </w:rPr>
      </w:pPr>
    </w:p>
    <w:p w14:paraId="6305F340"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Multiple regression (GMM) examined the relationship and the equations between the following variables:</w:t>
      </w:r>
    </w:p>
    <w:p w14:paraId="7651BD2E"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M&amp;A: Pre-merger = 0, post-merger = 1</w:t>
      </w:r>
    </w:p>
    <w:p w14:paraId="38D3933C"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ROA: Return on Asset</w:t>
      </w:r>
    </w:p>
    <w:p w14:paraId="27C432A6"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NPM: Net Profit Margin</w:t>
      </w:r>
    </w:p>
    <w:p w14:paraId="2CD7D995"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ASP: Average Stock Price</w:t>
      </w:r>
    </w:p>
    <w:p w14:paraId="6FC2E358"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CR: Current Ratio</w:t>
      </w:r>
    </w:p>
    <w:p w14:paraId="2298AC58"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 xml:space="preserve">FL: Financial leverage </w:t>
      </w:r>
    </w:p>
    <w:p w14:paraId="56186BBB" w14:textId="77777777" w:rsidR="00A95558" w:rsidRPr="00450FB4" w:rsidRDefault="00D67080" w:rsidP="00240B98">
      <w:pPr>
        <w:widowControl/>
        <w:numPr>
          <w:ilvl w:val="0"/>
          <w:numId w:val="2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AS: Acquirer’s size</w:t>
      </w:r>
    </w:p>
    <w:p w14:paraId="01E9D4E1" w14:textId="77777777" w:rsidR="00A95558" w:rsidRPr="00450FB4" w:rsidRDefault="00A95558" w:rsidP="00A95558">
      <w:pPr>
        <w:widowControl/>
        <w:suppressAutoHyphens/>
        <w:autoSpaceDE/>
        <w:autoSpaceDN/>
        <w:jc w:val="both"/>
        <w:rPr>
          <w:color w:val="000000"/>
          <w:kern w:val="1"/>
          <w:sz w:val="24"/>
          <w:szCs w:val="24"/>
          <w:lang w:eastAsia="ar-SA"/>
        </w:rPr>
      </w:pPr>
    </w:p>
    <w:p w14:paraId="02987D74" w14:textId="77777777" w:rsidR="00A95558" w:rsidRPr="00450FB4" w:rsidRDefault="00D67080" w:rsidP="00240B98">
      <w:pPr>
        <w:widowControl/>
        <w:suppressAutoHyphens/>
        <w:autoSpaceDE/>
        <w:autoSpaceDN/>
        <w:spacing w:line="276" w:lineRule="auto"/>
        <w:jc w:val="both"/>
        <w:rPr>
          <w:color w:val="000000"/>
          <w:kern w:val="1"/>
          <w:sz w:val="24"/>
          <w:szCs w:val="24"/>
          <w:lang w:eastAsia="ar-SA"/>
        </w:rPr>
      </w:pPr>
      <w:r w:rsidRPr="00450FB4">
        <w:rPr>
          <w:color w:val="000000"/>
          <w:kern w:val="1"/>
          <w:sz w:val="24"/>
          <w:szCs w:val="24"/>
          <w:lang w:eastAsia="ar-SA"/>
        </w:rPr>
        <w:t>Operating Performance:</w:t>
      </w:r>
    </w:p>
    <w:p w14:paraId="2F118A16" w14:textId="77777777" w:rsidR="00A95558" w:rsidRPr="00450FB4" w:rsidRDefault="00D67080" w:rsidP="00240B98">
      <w:pPr>
        <w:widowControl/>
        <w:numPr>
          <w:ilvl w:val="0"/>
          <w:numId w:val="1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ROA = β</w:t>
      </w:r>
      <w:r w:rsidRPr="00450FB4">
        <w:rPr>
          <w:color w:val="000000"/>
          <w:kern w:val="1"/>
          <w:sz w:val="24"/>
          <w:szCs w:val="24"/>
          <w:vertAlign w:val="subscript"/>
          <w:lang w:eastAsia="ar-SA"/>
        </w:rPr>
        <w:t xml:space="preserve">0 </w:t>
      </w:r>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NPM + β</w:t>
      </w:r>
      <w:r w:rsidRPr="00450FB4">
        <w:rPr>
          <w:color w:val="000000"/>
          <w:kern w:val="1"/>
          <w:sz w:val="24"/>
          <w:szCs w:val="24"/>
          <w:vertAlign w:val="subscript"/>
          <w:lang w:eastAsia="ar-SA"/>
        </w:rPr>
        <w:t>2</w:t>
      </w:r>
      <w:r w:rsidRPr="00450FB4">
        <w:rPr>
          <w:color w:val="000000"/>
          <w:kern w:val="1"/>
          <w:sz w:val="24"/>
          <w:szCs w:val="24"/>
          <w:lang w:eastAsia="ar-SA"/>
        </w:rPr>
        <w:t xml:space="preserve"> FL + β</w:t>
      </w:r>
      <w:r w:rsidRPr="00450FB4">
        <w:rPr>
          <w:color w:val="000000"/>
          <w:kern w:val="1"/>
          <w:sz w:val="24"/>
          <w:szCs w:val="24"/>
          <w:vertAlign w:val="subscript"/>
          <w:lang w:eastAsia="ar-SA"/>
        </w:rPr>
        <w:t>3</w:t>
      </w:r>
      <w:r w:rsidRPr="00450FB4">
        <w:rPr>
          <w:color w:val="000000"/>
          <w:kern w:val="1"/>
          <w:sz w:val="24"/>
          <w:szCs w:val="24"/>
          <w:lang w:eastAsia="ar-SA"/>
        </w:rPr>
        <w:t xml:space="preserve"> AS + ε</w:t>
      </w:r>
    </w:p>
    <w:p w14:paraId="4EEB2848" w14:textId="77777777" w:rsidR="00A95558" w:rsidRPr="00450FB4" w:rsidRDefault="00D67080" w:rsidP="00240B98">
      <w:pPr>
        <w:widowControl/>
        <w:numPr>
          <w:ilvl w:val="0"/>
          <w:numId w:val="1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NPM = β</w:t>
      </w:r>
      <w:r w:rsidRPr="00450FB4">
        <w:rPr>
          <w:color w:val="000000"/>
          <w:kern w:val="1"/>
          <w:sz w:val="24"/>
          <w:szCs w:val="24"/>
          <w:vertAlign w:val="subscript"/>
          <w:lang w:eastAsia="ar-SA"/>
        </w:rPr>
        <w:t>0</w:t>
      </w:r>
      <w:r w:rsidRPr="00450FB4">
        <w:rPr>
          <w:color w:val="000000"/>
          <w:kern w:val="1"/>
          <w:sz w:val="24"/>
          <w:szCs w:val="24"/>
          <w:lang w:eastAsia="ar-SA"/>
        </w:rPr>
        <w:t xml:space="preserve"> +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FL + β</w:t>
      </w:r>
      <w:r w:rsidRPr="00450FB4">
        <w:rPr>
          <w:color w:val="000000"/>
          <w:kern w:val="1"/>
          <w:sz w:val="24"/>
          <w:szCs w:val="24"/>
          <w:vertAlign w:val="subscript"/>
          <w:lang w:eastAsia="ar-SA"/>
        </w:rPr>
        <w:t xml:space="preserve">2 </w:t>
      </w:r>
      <w:r w:rsidRPr="00450FB4">
        <w:rPr>
          <w:color w:val="000000"/>
          <w:kern w:val="1"/>
          <w:sz w:val="24"/>
          <w:szCs w:val="24"/>
          <w:lang w:eastAsia="ar-SA"/>
        </w:rPr>
        <w:t>AS + ε</w:t>
      </w:r>
    </w:p>
    <w:p w14:paraId="2E75307E" w14:textId="77777777" w:rsidR="00A95558" w:rsidRPr="00450FB4" w:rsidRDefault="00A95558" w:rsidP="00240B98">
      <w:pPr>
        <w:widowControl/>
        <w:suppressAutoHyphens/>
        <w:autoSpaceDE/>
        <w:autoSpaceDN/>
        <w:spacing w:line="276" w:lineRule="auto"/>
        <w:ind w:left="60"/>
        <w:jc w:val="both"/>
        <w:rPr>
          <w:color w:val="000000"/>
          <w:kern w:val="1"/>
          <w:sz w:val="24"/>
          <w:szCs w:val="24"/>
          <w:lang w:eastAsia="ar-SA"/>
        </w:rPr>
      </w:pPr>
    </w:p>
    <w:p w14:paraId="60D21F8C" w14:textId="77777777" w:rsidR="00A95558" w:rsidRPr="00450FB4" w:rsidRDefault="00D67080" w:rsidP="00240B98">
      <w:pPr>
        <w:widowControl/>
        <w:suppressAutoHyphens/>
        <w:autoSpaceDE/>
        <w:autoSpaceDN/>
        <w:spacing w:line="276" w:lineRule="auto"/>
        <w:ind w:left="60"/>
        <w:jc w:val="both"/>
        <w:rPr>
          <w:color w:val="000000"/>
          <w:kern w:val="1"/>
          <w:sz w:val="24"/>
          <w:szCs w:val="24"/>
          <w:lang w:eastAsia="ar-SA"/>
        </w:rPr>
      </w:pPr>
      <w:r w:rsidRPr="00450FB4">
        <w:rPr>
          <w:color w:val="000000"/>
          <w:kern w:val="1"/>
          <w:sz w:val="24"/>
          <w:szCs w:val="24"/>
          <w:lang w:eastAsia="ar-SA"/>
        </w:rPr>
        <w:t>Market Based Performance:</w:t>
      </w:r>
    </w:p>
    <w:p w14:paraId="78112C86" w14:textId="77777777" w:rsidR="00A95558" w:rsidRPr="00450FB4" w:rsidRDefault="00D67080" w:rsidP="00240B98">
      <w:pPr>
        <w:widowControl/>
        <w:numPr>
          <w:ilvl w:val="0"/>
          <w:numId w:val="1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ASP = β</w:t>
      </w:r>
      <w:r w:rsidRPr="00450FB4">
        <w:rPr>
          <w:color w:val="000000"/>
          <w:kern w:val="1"/>
          <w:sz w:val="24"/>
          <w:szCs w:val="24"/>
          <w:vertAlign w:val="subscript"/>
          <w:lang w:eastAsia="ar-SA"/>
        </w:rPr>
        <w:t>0</w:t>
      </w:r>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NPM + β</w:t>
      </w:r>
      <w:r w:rsidRPr="00450FB4">
        <w:rPr>
          <w:color w:val="000000"/>
          <w:kern w:val="1"/>
          <w:sz w:val="24"/>
          <w:szCs w:val="24"/>
          <w:vertAlign w:val="subscript"/>
          <w:lang w:eastAsia="ar-SA"/>
        </w:rPr>
        <w:t>2</w:t>
      </w:r>
      <w:r w:rsidRPr="00450FB4">
        <w:rPr>
          <w:color w:val="000000"/>
          <w:kern w:val="1"/>
          <w:sz w:val="24"/>
          <w:szCs w:val="24"/>
          <w:lang w:eastAsia="ar-SA"/>
        </w:rPr>
        <w:t xml:space="preserve"> FL + β</w:t>
      </w:r>
      <w:r w:rsidRPr="00450FB4">
        <w:rPr>
          <w:color w:val="000000"/>
          <w:kern w:val="1"/>
          <w:sz w:val="24"/>
          <w:szCs w:val="24"/>
          <w:vertAlign w:val="subscript"/>
          <w:lang w:eastAsia="ar-SA"/>
        </w:rPr>
        <w:t>3</w:t>
      </w:r>
      <w:r w:rsidRPr="00450FB4">
        <w:rPr>
          <w:color w:val="000000"/>
          <w:kern w:val="1"/>
          <w:sz w:val="24"/>
          <w:szCs w:val="24"/>
          <w:lang w:eastAsia="ar-SA"/>
        </w:rPr>
        <w:t xml:space="preserve"> CR + β</w:t>
      </w:r>
      <w:r w:rsidRPr="00450FB4">
        <w:rPr>
          <w:color w:val="000000"/>
          <w:kern w:val="1"/>
          <w:sz w:val="24"/>
          <w:szCs w:val="24"/>
          <w:vertAlign w:val="subscript"/>
          <w:lang w:eastAsia="ar-SA"/>
        </w:rPr>
        <w:t>4</w:t>
      </w:r>
      <w:r w:rsidRPr="00450FB4">
        <w:rPr>
          <w:color w:val="000000"/>
          <w:kern w:val="1"/>
          <w:sz w:val="24"/>
          <w:szCs w:val="24"/>
          <w:lang w:eastAsia="ar-SA"/>
        </w:rPr>
        <w:t xml:space="preserve"> AS + ε</w:t>
      </w:r>
    </w:p>
    <w:p w14:paraId="45E61BBF" w14:textId="77777777" w:rsidR="00A95558" w:rsidRPr="00450FB4" w:rsidRDefault="00A95558" w:rsidP="00240B98">
      <w:pPr>
        <w:widowControl/>
        <w:suppressAutoHyphens/>
        <w:autoSpaceDE/>
        <w:autoSpaceDN/>
        <w:spacing w:line="276" w:lineRule="auto"/>
        <w:ind w:left="60"/>
        <w:jc w:val="both"/>
        <w:rPr>
          <w:color w:val="000000"/>
          <w:kern w:val="1"/>
          <w:sz w:val="24"/>
          <w:szCs w:val="24"/>
          <w:lang w:eastAsia="ar-SA"/>
        </w:rPr>
      </w:pPr>
    </w:p>
    <w:p w14:paraId="27C34D06" w14:textId="77777777" w:rsidR="00A95558" w:rsidRPr="00450FB4" w:rsidRDefault="00D67080" w:rsidP="00240B98">
      <w:pPr>
        <w:widowControl/>
        <w:suppressAutoHyphens/>
        <w:autoSpaceDE/>
        <w:autoSpaceDN/>
        <w:spacing w:line="276" w:lineRule="auto"/>
        <w:ind w:left="60"/>
        <w:jc w:val="both"/>
        <w:rPr>
          <w:color w:val="000000"/>
          <w:kern w:val="1"/>
          <w:sz w:val="24"/>
          <w:szCs w:val="24"/>
          <w:lang w:eastAsia="ar-SA"/>
        </w:rPr>
      </w:pPr>
      <w:r w:rsidRPr="00450FB4">
        <w:rPr>
          <w:color w:val="000000"/>
          <w:kern w:val="1"/>
          <w:sz w:val="24"/>
          <w:szCs w:val="24"/>
          <w:lang w:eastAsia="ar-SA"/>
        </w:rPr>
        <w:t>Liquidity:</w:t>
      </w:r>
    </w:p>
    <w:p w14:paraId="0A6EA278" w14:textId="77777777" w:rsidR="00A95558" w:rsidRPr="00450FB4" w:rsidRDefault="00D67080" w:rsidP="00240B98">
      <w:pPr>
        <w:widowControl/>
        <w:numPr>
          <w:ilvl w:val="0"/>
          <w:numId w:val="1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CR = β</w:t>
      </w:r>
      <w:r w:rsidRPr="00450FB4">
        <w:rPr>
          <w:color w:val="000000"/>
          <w:kern w:val="1"/>
          <w:sz w:val="24"/>
          <w:szCs w:val="24"/>
          <w:vertAlign w:val="subscript"/>
          <w:lang w:eastAsia="ar-SA"/>
        </w:rPr>
        <w:t>0</w:t>
      </w:r>
      <w:r w:rsidRPr="00450FB4">
        <w:rPr>
          <w:color w:val="000000"/>
          <w:kern w:val="1"/>
          <w:sz w:val="24"/>
          <w:szCs w:val="24"/>
          <w:lang w:eastAsia="ar-SA"/>
        </w:rPr>
        <w:t xml:space="preserve"> +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FL + β</w:t>
      </w:r>
      <w:r w:rsidRPr="00450FB4">
        <w:rPr>
          <w:color w:val="000000"/>
          <w:kern w:val="1"/>
          <w:sz w:val="24"/>
          <w:szCs w:val="24"/>
          <w:vertAlign w:val="subscript"/>
          <w:lang w:eastAsia="ar-SA"/>
        </w:rPr>
        <w:t>2</w:t>
      </w:r>
      <w:r w:rsidRPr="00450FB4">
        <w:rPr>
          <w:color w:val="000000"/>
          <w:kern w:val="1"/>
          <w:sz w:val="24"/>
          <w:szCs w:val="24"/>
          <w:lang w:eastAsia="ar-SA"/>
        </w:rPr>
        <w:t>AS + ε</w:t>
      </w:r>
    </w:p>
    <w:p w14:paraId="515B8D6A" w14:textId="77777777" w:rsidR="00A95558" w:rsidRPr="00450FB4" w:rsidRDefault="00A95558" w:rsidP="00240B98">
      <w:pPr>
        <w:widowControl/>
        <w:suppressAutoHyphens/>
        <w:autoSpaceDE/>
        <w:autoSpaceDN/>
        <w:spacing w:line="276" w:lineRule="auto"/>
        <w:jc w:val="both"/>
        <w:rPr>
          <w:color w:val="000000"/>
          <w:kern w:val="1"/>
          <w:sz w:val="24"/>
          <w:szCs w:val="24"/>
          <w:lang w:eastAsia="ar-SA"/>
        </w:rPr>
      </w:pPr>
    </w:p>
    <w:p w14:paraId="404D01B6" w14:textId="77777777" w:rsidR="00A95558" w:rsidRPr="00450FB4" w:rsidRDefault="00D67080" w:rsidP="00240B98">
      <w:pPr>
        <w:widowControl/>
        <w:suppressAutoHyphens/>
        <w:autoSpaceDE/>
        <w:autoSpaceDN/>
        <w:spacing w:line="276" w:lineRule="auto"/>
        <w:jc w:val="both"/>
        <w:rPr>
          <w:color w:val="000000"/>
          <w:kern w:val="1"/>
          <w:sz w:val="24"/>
          <w:szCs w:val="24"/>
          <w:lang w:eastAsia="ar-SA"/>
        </w:rPr>
      </w:pPr>
      <w:r w:rsidRPr="00450FB4">
        <w:rPr>
          <w:color w:val="000000"/>
          <w:kern w:val="1"/>
          <w:sz w:val="24"/>
          <w:szCs w:val="24"/>
          <w:lang w:eastAsia="ar-SA"/>
        </w:rPr>
        <w:t>Financial Leverage:</w:t>
      </w:r>
    </w:p>
    <w:p w14:paraId="654773AA" w14:textId="77777777" w:rsidR="00A95558" w:rsidRPr="00450FB4" w:rsidRDefault="00D67080" w:rsidP="00240B98">
      <w:pPr>
        <w:widowControl/>
        <w:numPr>
          <w:ilvl w:val="0"/>
          <w:numId w:val="19"/>
        </w:numPr>
        <w:suppressAutoHyphens/>
        <w:autoSpaceDE/>
        <w:autoSpaceDN/>
        <w:spacing w:after="160" w:line="276" w:lineRule="auto"/>
        <w:jc w:val="both"/>
        <w:rPr>
          <w:color w:val="000000"/>
          <w:kern w:val="1"/>
          <w:sz w:val="24"/>
          <w:szCs w:val="24"/>
          <w:lang w:eastAsia="ar-SA"/>
        </w:rPr>
      </w:pPr>
      <w:r w:rsidRPr="00450FB4">
        <w:rPr>
          <w:color w:val="000000"/>
          <w:kern w:val="1"/>
          <w:sz w:val="24"/>
          <w:szCs w:val="24"/>
          <w:lang w:eastAsia="ar-SA"/>
        </w:rPr>
        <w:t>FL = β</w:t>
      </w:r>
      <w:r w:rsidRPr="00450FB4">
        <w:rPr>
          <w:color w:val="000000"/>
          <w:kern w:val="1"/>
          <w:sz w:val="24"/>
          <w:szCs w:val="24"/>
          <w:vertAlign w:val="subscript"/>
          <w:lang w:eastAsia="ar-SA"/>
        </w:rPr>
        <w:t>0</w:t>
      </w:r>
      <w:r w:rsidRPr="00450FB4">
        <w:rPr>
          <w:color w:val="000000"/>
          <w:kern w:val="1"/>
          <w:sz w:val="24"/>
          <w:szCs w:val="24"/>
          <w:lang w:eastAsia="ar-SA"/>
        </w:rPr>
        <w:t xml:space="preserve"> + α Merger + β</w:t>
      </w:r>
      <w:r w:rsidRPr="00450FB4">
        <w:rPr>
          <w:color w:val="000000"/>
          <w:kern w:val="1"/>
          <w:sz w:val="24"/>
          <w:szCs w:val="24"/>
          <w:vertAlign w:val="subscript"/>
          <w:lang w:eastAsia="ar-SA"/>
        </w:rPr>
        <w:t>1</w:t>
      </w:r>
      <w:r w:rsidRPr="00450FB4">
        <w:rPr>
          <w:color w:val="000000"/>
          <w:kern w:val="1"/>
          <w:sz w:val="24"/>
          <w:szCs w:val="24"/>
          <w:lang w:eastAsia="ar-SA"/>
        </w:rPr>
        <w:t>CR + β</w:t>
      </w:r>
      <w:r w:rsidRPr="00450FB4">
        <w:rPr>
          <w:color w:val="000000"/>
          <w:kern w:val="1"/>
          <w:sz w:val="24"/>
          <w:szCs w:val="24"/>
          <w:vertAlign w:val="subscript"/>
          <w:lang w:eastAsia="ar-SA"/>
        </w:rPr>
        <w:t>2</w:t>
      </w:r>
      <w:r w:rsidRPr="00450FB4">
        <w:rPr>
          <w:color w:val="000000"/>
          <w:kern w:val="1"/>
          <w:sz w:val="24"/>
          <w:szCs w:val="24"/>
          <w:lang w:eastAsia="ar-SA"/>
        </w:rPr>
        <w:t xml:space="preserve"> AS + ε</w:t>
      </w:r>
    </w:p>
    <w:p w14:paraId="012D24B7" w14:textId="77777777" w:rsidR="00A95558" w:rsidRPr="00450FB4" w:rsidRDefault="00A95558" w:rsidP="00A95558">
      <w:pPr>
        <w:widowControl/>
        <w:suppressAutoHyphens/>
        <w:autoSpaceDE/>
        <w:autoSpaceDN/>
        <w:spacing w:after="160"/>
        <w:jc w:val="both"/>
        <w:rPr>
          <w:color w:val="000000"/>
          <w:kern w:val="1"/>
          <w:sz w:val="24"/>
          <w:szCs w:val="24"/>
          <w:lang w:eastAsia="ar-SA"/>
        </w:rPr>
      </w:pPr>
    </w:p>
    <w:p w14:paraId="3BE63FCC" w14:textId="77777777" w:rsidR="00A95558" w:rsidRPr="00450FB4" w:rsidRDefault="00D67080" w:rsidP="00A95558">
      <w:pPr>
        <w:widowControl/>
        <w:numPr>
          <w:ilvl w:val="0"/>
          <w:numId w:val="18"/>
        </w:numPr>
        <w:tabs>
          <w:tab w:val="left" w:pos="284"/>
        </w:tabs>
        <w:suppressAutoHyphens/>
        <w:autoSpaceDE/>
        <w:autoSpaceDN/>
        <w:spacing w:after="160" w:line="480" w:lineRule="auto"/>
        <w:ind w:left="0" w:firstLine="0"/>
        <w:jc w:val="both"/>
        <w:rPr>
          <w:b/>
          <w:bCs/>
          <w:color w:val="000000"/>
          <w:kern w:val="1"/>
          <w:sz w:val="24"/>
          <w:szCs w:val="24"/>
          <w:lang w:eastAsia="ar-SA"/>
        </w:rPr>
      </w:pPr>
      <w:r w:rsidRPr="00450FB4">
        <w:rPr>
          <w:b/>
          <w:bCs/>
          <w:color w:val="000000"/>
          <w:kern w:val="1"/>
          <w:sz w:val="24"/>
          <w:szCs w:val="24"/>
          <w:lang w:eastAsia="ar-SA"/>
        </w:rPr>
        <w:t xml:space="preserve">Results  </w:t>
      </w:r>
    </w:p>
    <w:p w14:paraId="0B2A3B3F" w14:textId="77777777" w:rsidR="00A95558" w:rsidRPr="00450FB4" w:rsidRDefault="00D67080" w:rsidP="00A95558">
      <w:pPr>
        <w:widowControl/>
        <w:numPr>
          <w:ilvl w:val="1"/>
          <w:numId w:val="18"/>
        </w:numPr>
        <w:tabs>
          <w:tab w:val="left" w:pos="426"/>
        </w:tabs>
        <w:suppressAutoHyphens/>
        <w:autoSpaceDE/>
        <w:autoSpaceDN/>
        <w:spacing w:after="160" w:line="480" w:lineRule="auto"/>
        <w:ind w:left="0" w:firstLine="0"/>
        <w:jc w:val="both"/>
        <w:rPr>
          <w:b/>
          <w:bCs/>
          <w:i/>
          <w:iCs/>
          <w:color w:val="000000"/>
          <w:kern w:val="1"/>
          <w:sz w:val="24"/>
          <w:szCs w:val="24"/>
          <w:lang w:eastAsia="ar-SA"/>
        </w:rPr>
      </w:pPr>
      <w:r w:rsidRPr="00450FB4">
        <w:rPr>
          <w:b/>
          <w:bCs/>
          <w:i/>
          <w:iCs/>
          <w:color w:val="000000"/>
          <w:kern w:val="1"/>
          <w:sz w:val="24"/>
          <w:szCs w:val="24"/>
          <w:lang w:eastAsia="ar-SA"/>
        </w:rPr>
        <w:t>Descriptive Statistics</w:t>
      </w:r>
    </w:p>
    <w:p w14:paraId="6E2F9F6C" w14:textId="77777777" w:rsidR="00A95558" w:rsidRPr="00450FB4" w:rsidRDefault="00D67080" w:rsidP="00A95558">
      <w:pPr>
        <w:widowControl/>
        <w:suppressAutoHyphens/>
        <w:autoSpaceDE/>
        <w:autoSpaceDN/>
        <w:jc w:val="both"/>
        <w:rPr>
          <w:b/>
          <w:color w:val="000000"/>
          <w:kern w:val="1"/>
          <w:sz w:val="24"/>
          <w:szCs w:val="24"/>
          <w:u w:val="single"/>
          <w:lang w:eastAsia="ar-SA"/>
        </w:rPr>
      </w:pPr>
      <w:r w:rsidRPr="00450FB4">
        <w:rPr>
          <w:color w:val="000000"/>
          <w:kern w:val="1"/>
          <w:sz w:val="24"/>
          <w:szCs w:val="24"/>
          <w:lang w:eastAsia="ar-SA"/>
        </w:rPr>
        <w:lastRenderedPageBreak/>
        <w:t>Table 3 offers descriptive statistics for the variables analysed, revealing insights into operating performance, market dynamics, liquidity, financial leverage, and asset size of acquiring firms. The mean values of ROA (5.63%), NPM (10.16%), ASP (504.67 INR), CR (2.2), FL (131.46), and AS (12.00) highlight the operating performance, market performance, liquidity parameters, financial leverage of the acquiring firms. The data indicates wide dispersion, with most variables showing standard deviations exceeding their average. The mean of FL exceeds 100%, suggest</w:t>
      </w:r>
      <w:r w:rsidR="00240B98" w:rsidRPr="00450FB4">
        <w:rPr>
          <w:color w:val="000000"/>
          <w:kern w:val="1"/>
          <w:sz w:val="24"/>
          <w:szCs w:val="24"/>
          <w:lang w:eastAsia="ar-SA"/>
        </w:rPr>
        <w:t>ing</w:t>
      </w:r>
      <w:r w:rsidRPr="00450FB4">
        <w:rPr>
          <w:color w:val="000000"/>
          <w:kern w:val="1"/>
          <w:sz w:val="24"/>
          <w:szCs w:val="24"/>
          <w:lang w:eastAsia="ar-SA"/>
        </w:rPr>
        <w:t xml:space="preserve"> reliance on borrowing over equity, and ASP's high standard deviation underscores significant share price variability. Comparatively, ROA's higher mean than median hints at above-median performance for many firms, adding depth to the statistical analysis. </w:t>
      </w:r>
    </w:p>
    <w:p w14:paraId="3403F3A3" w14:textId="77777777" w:rsidR="00A95558" w:rsidRPr="00450FB4" w:rsidRDefault="00A95558" w:rsidP="00A95558">
      <w:pPr>
        <w:widowControl/>
        <w:suppressAutoHyphens/>
        <w:autoSpaceDE/>
        <w:autoSpaceDN/>
        <w:jc w:val="both"/>
        <w:rPr>
          <w:b/>
          <w:color w:val="000000"/>
          <w:kern w:val="1"/>
          <w:sz w:val="24"/>
          <w:szCs w:val="24"/>
          <w:u w:val="single"/>
          <w:lang w:eastAsia="ar-SA"/>
        </w:rPr>
      </w:pPr>
    </w:p>
    <w:p w14:paraId="16A6825E" w14:textId="77777777" w:rsidR="00A95558" w:rsidRPr="00450FB4" w:rsidRDefault="00D67080" w:rsidP="00A95558">
      <w:pPr>
        <w:widowControl/>
        <w:suppressAutoHyphens/>
        <w:autoSpaceDE/>
        <w:autoSpaceDN/>
        <w:jc w:val="center"/>
        <w:rPr>
          <w:b/>
          <w:color w:val="000000"/>
          <w:kern w:val="1"/>
          <w:sz w:val="24"/>
          <w:szCs w:val="24"/>
          <w:lang w:eastAsia="ar-SA"/>
        </w:rPr>
      </w:pPr>
      <w:r w:rsidRPr="00450FB4">
        <w:rPr>
          <w:b/>
          <w:color w:val="000000"/>
          <w:kern w:val="1"/>
          <w:sz w:val="24"/>
          <w:szCs w:val="24"/>
          <w:lang w:eastAsia="ar-SA"/>
        </w:rPr>
        <w:t>Table 3: Descriptive Statistics of all variables</w:t>
      </w:r>
    </w:p>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76"/>
        <w:gridCol w:w="876"/>
        <w:gridCol w:w="1003"/>
        <w:gridCol w:w="1301"/>
        <w:gridCol w:w="1243"/>
        <w:gridCol w:w="1283"/>
      </w:tblGrid>
      <w:tr w:rsidR="00161788" w:rsidRPr="00450FB4" w14:paraId="70E7E2C4" w14:textId="77777777" w:rsidTr="000C7E69">
        <w:tc>
          <w:tcPr>
            <w:tcW w:w="1182" w:type="pct"/>
            <w:tcBorders>
              <w:top w:val="single" w:sz="4" w:space="0" w:color="auto"/>
              <w:bottom w:val="single" w:sz="4" w:space="0" w:color="auto"/>
            </w:tcBorders>
            <w:hideMark/>
          </w:tcPr>
          <w:p w14:paraId="0CE414F0" w14:textId="77777777" w:rsidR="00A95558" w:rsidRPr="00450FB4" w:rsidRDefault="00D67080" w:rsidP="00240B98">
            <w:pPr>
              <w:spacing w:line="276" w:lineRule="auto"/>
              <w:rPr>
                <w:b/>
                <w:bCs/>
                <w:sz w:val="24"/>
                <w:szCs w:val="24"/>
              </w:rPr>
            </w:pPr>
            <w:r w:rsidRPr="00450FB4">
              <w:rPr>
                <w:b/>
                <w:bCs/>
                <w:sz w:val="24"/>
                <w:szCs w:val="24"/>
              </w:rPr>
              <w:t>Descriptive Statistics</w:t>
            </w:r>
          </w:p>
        </w:tc>
        <w:tc>
          <w:tcPr>
            <w:tcW w:w="314" w:type="pct"/>
            <w:tcBorders>
              <w:top w:val="single" w:sz="4" w:space="0" w:color="auto"/>
              <w:bottom w:val="single" w:sz="4" w:space="0" w:color="auto"/>
            </w:tcBorders>
            <w:hideMark/>
          </w:tcPr>
          <w:p w14:paraId="2503E4ED" w14:textId="77777777" w:rsidR="00A95558" w:rsidRPr="00450FB4" w:rsidRDefault="00D67080" w:rsidP="00240B98">
            <w:pPr>
              <w:spacing w:line="276" w:lineRule="auto"/>
              <w:jc w:val="center"/>
              <w:rPr>
                <w:b/>
                <w:bCs/>
                <w:sz w:val="24"/>
                <w:szCs w:val="24"/>
              </w:rPr>
            </w:pPr>
            <w:r w:rsidRPr="00450FB4">
              <w:rPr>
                <w:b/>
                <w:bCs/>
                <w:sz w:val="24"/>
                <w:szCs w:val="24"/>
              </w:rPr>
              <w:t>N</w:t>
            </w:r>
          </w:p>
        </w:tc>
        <w:tc>
          <w:tcPr>
            <w:tcW w:w="477" w:type="pct"/>
            <w:tcBorders>
              <w:top w:val="single" w:sz="4" w:space="0" w:color="auto"/>
              <w:bottom w:val="single" w:sz="4" w:space="0" w:color="auto"/>
            </w:tcBorders>
            <w:hideMark/>
          </w:tcPr>
          <w:p w14:paraId="2172123F" w14:textId="77777777" w:rsidR="00A95558" w:rsidRPr="00450FB4" w:rsidRDefault="00D67080" w:rsidP="00240B98">
            <w:pPr>
              <w:spacing w:line="276" w:lineRule="auto"/>
              <w:jc w:val="center"/>
              <w:rPr>
                <w:b/>
                <w:bCs/>
                <w:sz w:val="24"/>
                <w:szCs w:val="24"/>
              </w:rPr>
            </w:pPr>
            <w:r w:rsidRPr="00450FB4">
              <w:rPr>
                <w:b/>
                <w:bCs/>
                <w:sz w:val="24"/>
                <w:szCs w:val="24"/>
              </w:rPr>
              <w:t>Mean</w:t>
            </w:r>
          </w:p>
        </w:tc>
        <w:tc>
          <w:tcPr>
            <w:tcW w:w="546" w:type="pct"/>
            <w:tcBorders>
              <w:top w:val="single" w:sz="4" w:space="0" w:color="auto"/>
              <w:bottom w:val="single" w:sz="4" w:space="0" w:color="auto"/>
            </w:tcBorders>
            <w:hideMark/>
          </w:tcPr>
          <w:p w14:paraId="3032AC91" w14:textId="77777777" w:rsidR="00A95558" w:rsidRPr="00450FB4" w:rsidRDefault="00D67080" w:rsidP="00240B98">
            <w:pPr>
              <w:spacing w:line="276" w:lineRule="auto"/>
              <w:jc w:val="center"/>
              <w:rPr>
                <w:b/>
                <w:bCs/>
                <w:sz w:val="24"/>
                <w:szCs w:val="24"/>
              </w:rPr>
            </w:pPr>
            <w:r w:rsidRPr="00450FB4">
              <w:rPr>
                <w:b/>
                <w:bCs/>
                <w:sz w:val="24"/>
                <w:szCs w:val="24"/>
              </w:rPr>
              <w:t>Median</w:t>
            </w:r>
          </w:p>
        </w:tc>
        <w:tc>
          <w:tcPr>
            <w:tcW w:w="1106" w:type="pct"/>
            <w:tcBorders>
              <w:top w:val="single" w:sz="4" w:space="0" w:color="auto"/>
              <w:bottom w:val="single" w:sz="4" w:space="0" w:color="auto"/>
            </w:tcBorders>
            <w:hideMark/>
          </w:tcPr>
          <w:p w14:paraId="2312FA90" w14:textId="77777777" w:rsidR="00A95558" w:rsidRPr="00450FB4" w:rsidRDefault="00D67080" w:rsidP="00240B98">
            <w:pPr>
              <w:spacing w:line="276" w:lineRule="auto"/>
              <w:jc w:val="center"/>
              <w:rPr>
                <w:b/>
                <w:bCs/>
                <w:sz w:val="24"/>
                <w:szCs w:val="24"/>
              </w:rPr>
            </w:pPr>
            <w:r w:rsidRPr="00450FB4">
              <w:rPr>
                <w:b/>
                <w:bCs/>
                <w:sz w:val="24"/>
                <w:szCs w:val="24"/>
              </w:rPr>
              <w:t>Standard Deviation</w:t>
            </w:r>
          </w:p>
        </w:tc>
        <w:tc>
          <w:tcPr>
            <w:tcW w:w="677" w:type="pct"/>
            <w:tcBorders>
              <w:top w:val="single" w:sz="4" w:space="0" w:color="auto"/>
              <w:bottom w:val="single" w:sz="4" w:space="0" w:color="auto"/>
            </w:tcBorders>
            <w:hideMark/>
          </w:tcPr>
          <w:p w14:paraId="2A232F85" w14:textId="77777777" w:rsidR="00A95558" w:rsidRPr="00450FB4" w:rsidRDefault="00D67080" w:rsidP="00240B98">
            <w:pPr>
              <w:spacing w:line="276" w:lineRule="auto"/>
              <w:jc w:val="center"/>
              <w:rPr>
                <w:b/>
                <w:bCs/>
                <w:sz w:val="24"/>
                <w:szCs w:val="24"/>
              </w:rPr>
            </w:pPr>
            <w:r w:rsidRPr="00450FB4">
              <w:rPr>
                <w:b/>
                <w:bCs/>
                <w:sz w:val="24"/>
                <w:szCs w:val="24"/>
              </w:rPr>
              <w:t>Minimum</w:t>
            </w:r>
          </w:p>
        </w:tc>
        <w:tc>
          <w:tcPr>
            <w:tcW w:w="698" w:type="pct"/>
            <w:tcBorders>
              <w:top w:val="single" w:sz="4" w:space="0" w:color="auto"/>
              <w:bottom w:val="single" w:sz="4" w:space="0" w:color="auto"/>
            </w:tcBorders>
            <w:hideMark/>
          </w:tcPr>
          <w:p w14:paraId="22E2C68D" w14:textId="77777777" w:rsidR="00A95558" w:rsidRPr="00450FB4" w:rsidRDefault="00D67080" w:rsidP="00240B98">
            <w:pPr>
              <w:spacing w:line="276" w:lineRule="auto"/>
              <w:jc w:val="center"/>
              <w:rPr>
                <w:b/>
                <w:bCs/>
                <w:sz w:val="24"/>
                <w:szCs w:val="24"/>
              </w:rPr>
            </w:pPr>
            <w:r w:rsidRPr="00450FB4">
              <w:rPr>
                <w:b/>
                <w:bCs/>
                <w:sz w:val="24"/>
                <w:szCs w:val="24"/>
              </w:rPr>
              <w:t>Maximum</w:t>
            </w:r>
          </w:p>
        </w:tc>
      </w:tr>
      <w:tr w:rsidR="00161788" w:rsidRPr="00450FB4" w14:paraId="7C5D8ABD" w14:textId="77777777" w:rsidTr="000C7E69">
        <w:tc>
          <w:tcPr>
            <w:tcW w:w="1182" w:type="pct"/>
            <w:tcBorders>
              <w:top w:val="single" w:sz="4" w:space="0" w:color="auto"/>
            </w:tcBorders>
            <w:hideMark/>
          </w:tcPr>
          <w:p w14:paraId="0AF3675A" w14:textId="77777777" w:rsidR="00A95558" w:rsidRPr="00450FB4" w:rsidRDefault="00D67080" w:rsidP="00240B98">
            <w:pPr>
              <w:spacing w:line="276" w:lineRule="auto"/>
              <w:jc w:val="both"/>
              <w:rPr>
                <w:sz w:val="24"/>
                <w:szCs w:val="24"/>
              </w:rPr>
            </w:pPr>
            <w:r w:rsidRPr="00450FB4">
              <w:rPr>
                <w:sz w:val="24"/>
                <w:szCs w:val="24"/>
              </w:rPr>
              <w:t>ROA</w:t>
            </w:r>
          </w:p>
        </w:tc>
        <w:tc>
          <w:tcPr>
            <w:tcW w:w="314" w:type="pct"/>
            <w:tcBorders>
              <w:top w:val="single" w:sz="4" w:space="0" w:color="auto"/>
            </w:tcBorders>
            <w:hideMark/>
          </w:tcPr>
          <w:p w14:paraId="36D09BC5" w14:textId="77777777" w:rsidR="00A95558" w:rsidRPr="00450FB4" w:rsidRDefault="00D67080" w:rsidP="00240B98">
            <w:pPr>
              <w:spacing w:line="276" w:lineRule="auto"/>
              <w:jc w:val="center"/>
              <w:rPr>
                <w:sz w:val="24"/>
                <w:szCs w:val="24"/>
              </w:rPr>
            </w:pPr>
            <w:r w:rsidRPr="00450FB4">
              <w:rPr>
                <w:sz w:val="24"/>
                <w:szCs w:val="24"/>
              </w:rPr>
              <w:t>760</w:t>
            </w:r>
          </w:p>
        </w:tc>
        <w:tc>
          <w:tcPr>
            <w:tcW w:w="477" w:type="pct"/>
            <w:tcBorders>
              <w:top w:val="single" w:sz="4" w:space="0" w:color="auto"/>
            </w:tcBorders>
            <w:hideMark/>
          </w:tcPr>
          <w:p w14:paraId="7BF4B79E" w14:textId="77777777" w:rsidR="00A95558" w:rsidRPr="00450FB4" w:rsidRDefault="00D67080" w:rsidP="00240B98">
            <w:pPr>
              <w:spacing w:line="276" w:lineRule="auto"/>
              <w:jc w:val="center"/>
              <w:rPr>
                <w:sz w:val="24"/>
                <w:szCs w:val="24"/>
              </w:rPr>
            </w:pPr>
            <w:r w:rsidRPr="00450FB4">
              <w:rPr>
                <w:sz w:val="24"/>
                <w:szCs w:val="24"/>
              </w:rPr>
              <w:t>5.63</w:t>
            </w:r>
          </w:p>
        </w:tc>
        <w:tc>
          <w:tcPr>
            <w:tcW w:w="546" w:type="pct"/>
            <w:tcBorders>
              <w:top w:val="single" w:sz="4" w:space="0" w:color="auto"/>
            </w:tcBorders>
            <w:hideMark/>
          </w:tcPr>
          <w:p w14:paraId="76352D8B" w14:textId="77777777" w:rsidR="00A95558" w:rsidRPr="00450FB4" w:rsidRDefault="00D67080" w:rsidP="00240B98">
            <w:pPr>
              <w:spacing w:line="276" w:lineRule="auto"/>
              <w:jc w:val="center"/>
              <w:rPr>
                <w:sz w:val="24"/>
                <w:szCs w:val="24"/>
              </w:rPr>
            </w:pPr>
            <w:r w:rsidRPr="00450FB4">
              <w:rPr>
                <w:sz w:val="24"/>
                <w:szCs w:val="24"/>
              </w:rPr>
              <w:t>2.74</w:t>
            </w:r>
          </w:p>
        </w:tc>
        <w:tc>
          <w:tcPr>
            <w:tcW w:w="1106" w:type="pct"/>
            <w:tcBorders>
              <w:top w:val="single" w:sz="4" w:space="0" w:color="auto"/>
            </w:tcBorders>
            <w:hideMark/>
          </w:tcPr>
          <w:p w14:paraId="71212527" w14:textId="77777777" w:rsidR="00A95558" w:rsidRPr="00450FB4" w:rsidRDefault="00D67080" w:rsidP="00240B98">
            <w:pPr>
              <w:spacing w:line="276" w:lineRule="auto"/>
              <w:jc w:val="center"/>
              <w:rPr>
                <w:sz w:val="24"/>
                <w:szCs w:val="24"/>
              </w:rPr>
            </w:pPr>
            <w:r w:rsidRPr="00450FB4">
              <w:rPr>
                <w:sz w:val="24"/>
                <w:szCs w:val="24"/>
              </w:rPr>
              <w:t>8.3</w:t>
            </w:r>
          </w:p>
        </w:tc>
        <w:tc>
          <w:tcPr>
            <w:tcW w:w="677" w:type="pct"/>
            <w:tcBorders>
              <w:top w:val="single" w:sz="4" w:space="0" w:color="auto"/>
            </w:tcBorders>
            <w:hideMark/>
          </w:tcPr>
          <w:p w14:paraId="1F9B4C85" w14:textId="77777777" w:rsidR="00A95558" w:rsidRPr="00450FB4" w:rsidRDefault="00D67080" w:rsidP="00240B98">
            <w:pPr>
              <w:spacing w:line="276" w:lineRule="auto"/>
              <w:jc w:val="center"/>
              <w:rPr>
                <w:sz w:val="24"/>
                <w:szCs w:val="24"/>
              </w:rPr>
            </w:pPr>
            <w:r w:rsidRPr="00450FB4">
              <w:rPr>
                <w:sz w:val="24"/>
                <w:szCs w:val="24"/>
              </w:rPr>
              <w:t>-26.53</w:t>
            </w:r>
          </w:p>
        </w:tc>
        <w:tc>
          <w:tcPr>
            <w:tcW w:w="698" w:type="pct"/>
            <w:tcBorders>
              <w:top w:val="single" w:sz="4" w:space="0" w:color="auto"/>
            </w:tcBorders>
            <w:hideMark/>
          </w:tcPr>
          <w:p w14:paraId="23D34DD4" w14:textId="77777777" w:rsidR="00A95558" w:rsidRPr="00450FB4" w:rsidRDefault="00D67080" w:rsidP="00240B98">
            <w:pPr>
              <w:spacing w:line="276" w:lineRule="auto"/>
              <w:jc w:val="center"/>
              <w:rPr>
                <w:sz w:val="24"/>
                <w:szCs w:val="24"/>
              </w:rPr>
            </w:pPr>
            <w:r w:rsidRPr="00450FB4">
              <w:rPr>
                <w:sz w:val="24"/>
                <w:szCs w:val="24"/>
              </w:rPr>
              <w:t>40.03</w:t>
            </w:r>
          </w:p>
        </w:tc>
      </w:tr>
      <w:tr w:rsidR="00161788" w:rsidRPr="00450FB4" w14:paraId="40BEB6B1" w14:textId="77777777" w:rsidTr="000C7E69">
        <w:tc>
          <w:tcPr>
            <w:tcW w:w="1182" w:type="pct"/>
            <w:hideMark/>
          </w:tcPr>
          <w:p w14:paraId="2BA074DD" w14:textId="77777777" w:rsidR="00A95558" w:rsidRPr="00450FB4" w:rsidRDefault="00D67080" w:rsidP="00240B98">
            <w:pPr>
              <w:spacing w:line="276" w:lineRule="auto"/>
              <w:jc w:val="both"/>
              <w:rPr>
                <w:sz w:val="24"/>
                <w:szCs w:val="24"/>
              </w:rPr>
            </w:pPr>
            <w:r w:rsidRPr="00450FB4">
              <w:rPr>
                <w:sz w:val="24"/>
                <w:szCs w:val="24"/>
              </w:rPr>
              <w:t>NPM</w:t>
            </w:r>
          </w:p>
        </w:tc>
        <w:tc>
          <w:tcPr>
            <w:tcW w:w="314" w:type="pct"/>
            <w:hideMark/>
          </w:tcPr>
          <w:p w14:paraId="45B01408" w14:textId="77777777" w:rsidR="00A95558" w:rsidRPr="00450FB4" w:rsidRDefault="00D67080" w:rsidP="00240B98">
            <w:pPr>
              <w:spacing w:line="276" w:lineRule="auto"/>
              <w:jc w:val="center"/>
              <w:rPr>
                <w:sz w:val="24"/>
                <w:szCs w:val="24"/>
              </w:rPr>
            </w:pPr>
            <w:r w:rsidRPr="00450FB4">
              <w:rPr>
                <w:sz w:val="24"/>
                <w:szCs w:val="24"/>
              </w:rPr>
              <w:t>769</w:t>
            </w:r>
          </w:p>
        </w:tc>
        <w:tc>
          <w:tcPr>
            <w:tcW w:w="477" w:type="pct"/>
            <w:hideMark/>
          </w:tcPr>
          <w:p w14:paraId="0EFD5744" w14:textId="77777777" w:rsidR="00A95558" w:rsidRPr="00450FB4" w:rsidRDefault="00D67080" w:rsidP="00240B98">
            <w:pPr>
              <w:spacing w:line="276" w:lineRule="auto"/>
              <w:jc w:val="center"/>
              <w:rPr>
                <w:sz w:val="24"/>
                <w:szCs w:val="24"/>
              </w:rPr>
            </w:pPr>
            <w:r w:rsidRPr="00450FB4">
              <w:rPr>
                <w:sz w:val="24"/>
                <w:szCs w:val="24"/>
              </w:rPr>
              <w:t>10.16</w:t>
            </w:r>
          </w:p>
        </w:tc>
        <w:tc>
          <w:tcPr>
            <w:tcW w:w="546" w:type="pct"/>
            <w:hideMark/>
          </w:tcPr>
          <w:p w14:paraId="280995CF" w14:textId="77777777" w:rsidR="00A95558" w:rsidRPr="00450FB4" w:rsidRDefault="00D67080" w:rsidP="00240B98">
            <w:pPr>
              <w:spacing w:line="276" w:lineRule="auto"/>
              <w:jc w:val="center"/>
              <w:rPr>
                <w:sz w:val="24"/>
                <w:szCs w:val="24"/>
              </w:rPr>
            </w:pPr>
            <w:r w:rsidRPr="00450FB4">
              <w:rPr>
                <w:sz w:val="24"/>
                <w:szCs w:val="24"/>
              </w:rPr>
              <w:t>10.26</w:t>
            </w:r>
          </w:p>
        </w:tc>
        <w:tc>
          <w:tcPr>
            <w:tcW w:w="1106" w:type="pct"/>
            <w:hideMark/>
          </w:tcPr>
          <w:p w14:paraId="12C4F254" w14:textId="77777777" w:rsidR="00A95558" w:rsidRPr="00450FB4" w:rsidRDefault="00D67080" w:rsidP="00240B98">
            <w:pPr>
              <w:spacing w:line="276" w:lineRule="auto"/>
              <w:jc w:val="center"/>
              <w:rPr>
                <w:sz w:val="24"/>
                <w:szCs w:val="24"/>
              </w:rPr>
            </w:pPr>
            <w:r w:rsidRPr="00450FB4">
              <w:rPr>
                <w:sz w:val="24"/>
                <w:szCs w:val="24"/>
              </w:rPr>
              <w:t>16.33</w:t>
            </w:r>
          </w:p>
        </w:tc>
        <w:tc>
          <w:tcPr>
            <w:tcW w:w="677" w:type="pct"/>
            <w:hideMark/>
          </w:tcPr>
          <w:p w14:paraId="289148F9" w14:textId="77777777" w:rsidR="00A95558" w:rsidRPr="00450FB4" w:rsidRDefault="00D67080" w:rsidP="00240B98">
            <w:pPr>
              <w:spacing w:line="276" w:lineRule="auto"/>
              <w:jc w:val="center"/>
              <w:rPr>
                <w:sz w:val="24"/>
                <w:szCs w:val="24"/>
              </w:rPr>
            </w:pPr>
            <w:r w:rsidRPr="00450FB4">
              <w:rPr>
                <w:sz w:val="24"/>
                <w:szCs w:val="24"/>
              </w:rPr>
              <w:t>-92.79</w:t>
            </w:r>
          </w:p>
        </w:tc>
        <w:tc>
          <w:tcPr>
            <w:tcW w:w="698" w:type="pct"/>
            <w:hideMark/>
          </w:tcPr>
          <w:p w14:paraId="68A944BB" w14:textId="77777777" w:rsidR="00A95558" w:rsidRPr="00450FB4" w:rsidRDefault="00D67080" w:rsidP="00240B98">
            <w:pPr>
              <w:spacing w:line="276" w:lineRule="auto"/>
              <w:jc w:val="center"/>
              <w:rPr>
                <w:sz w:val="24"/>
                <w:szCs w:val="24"/>
              </w:rPr>
            </w:pPr>
            <w:r w:rsidRPr="00450FB4">
              <w:rPr>
                <w:sz w:val="24"/>
                <w:szCs w:val="24"/>
              </w:rPr>
              <w:t>92.01</w:t>
            </w:r>
          </w:p>
        </w:tc>
      </w:tr>
      <w:tr w:rsidR="00161788" w:rsidRPr="00450FB4" w14:paraId="6DEB54B7" w14:textId="77777777" w:rsidTr="000C7E69">
        <w:tc>
          <w:tcPr>
            <w:tcW w:w="1182" w:type="pct"/>
            <w:hideMark/>
          </w:tcPr>
          <w:p w14:paraId="6F736855" w14:textId="77777777" w:rsidR="00A95558" w:rsidRPr="00450FB4" w:rsidRDefault="00D67080" w:rsidP="00240B98">
            <w:pPr>
              <w:spacing w:line="276" w:lineRule="auto"/>
              <w:jc w:val="both"/>
              <w:rPr>
                <w:sz w:val="24"/>
                <w:szCs w:val="24"/>
              </w:rPr>
            </w:pPr>
            <w:r w:rsidRPr="00450FB4">
              <w:rPr>
                <w:sz w:val="24"/>
                <w:szCs w:val="24"/>
              </w:rPr>
              <w:t>ASP</w:t>
            </w:r>
          </w:p>
        </w:tc>
        <w:tc>
          <w:tcPr>
            <w:tcW w:w="314" w:type="pct"/>
            <w:hideMark/>
          </w:tcPr>
          <w:p w14:paraId="39768262" w14:textId="77777777" w:rsidR="00A95558" w:rsidRPr="00450FB4" w:rsidRDefault="00D67080" w:rsidP="00240B98">
            <w:pPr>
              <w:spacing w:line="276" w:lineRule="auto"/>
              <w:jc w:val="center"/>
              <w:rPr>
                <w:sz w:val="24"/>
                <w:szCs w:val="24"/>
              </w:rPr>
            </w:pPr>
            <w:r w:rsidRPr="00450FB4">
              <w:rPr>
                <w:sz w:val="24"/>
                <w:szCs w:val="24"/>
              </w:rPr>
              <w:t>840</w:t>
            </w:r>
          </w:p>
        </w:tc>
        <w:tc>
          <w:tcPr>
            <w:tcW w:w="477" w:type="pct"/>
            <w:hideMark/>
          </w:tcPr>
          <w:p w14:paraId="1274CD09" w14:textId="77777777" w:rsidR="00A95558" w:rsidRPr="00450FB4" w:rsidRDefault="00D67080" w:rsidP="00240B98">
            <w:pPr>
              <w:spacing w:line="276" w:lineRule="auto"/>
              <w:jc w:val="center"/>
              <w:rPr>
                <w:sz w:val="24"/>
                <w:szCs w:val="24"/>
              </w:rPr>
            </w:pPr>
            <w:r w:rsidRPr="00450FB4">
              <w:rPr>
                <w:sz w:val="24"/>
                <w:szCs w:val="24"/>
              </w:rPr>
              <w:t>504.67</w:t>
            </w:r>
          </w:p>
        </w:tc>
        <w:tc>
          <w:tcPr>
            <w:tcW w:w="546" w:type="pct"/>
            <w:hideMark/>
          </w:tcPr>
          <w:p w14:paraId="25EA872C" w14:textId="77777777" w:rsidR="00A95558" w:rsidRPr="00450FB4" w:rsidRDefault="00D67080" w:rsidP="00240B98">
            <w:pPr>
              <w:spacing w:line="276" w:lineRule="auto"/>
              <w:jc w:val="center"/>
              <w:rPr>
                <w:sz w:val="24"/>
                <w:szCs w:val="24"/>
              </w:rPr>
            </w:pPr>
            <w:r w:rsidRPr="00450FB4">
              <w:rPr>
                <w:sz w:val="24"/>
                <w:szCs w:val="24"/>
              </w:rPr>
              <w:t>292.25</w:t>
            </w:r>
          </w:p>
        </w:tc>
        <w:tc>
          <w:tcPr>
            <w:tcW w:w="1106" w:type="pct"/>
            <w:hideMark/>
          </w:tcPr>
          <w:p w14:paraId="31505F9A" w14:textId="77777777" w:rsidR="00A95558" w:rsidRPr="00450FB4" w:rsidRDefault="00D67080" w:rsidP="00240B98">
            <w:pPr>
              <w:spacing w:line="276" w:lineRule="auto"/>
              <w:jc w:val="center"/>
              <w:rPr>
                <w:sz w:val="24"/>
                <w:szCs w:val="24"/>
              </w:rPr>
            </w:pPr>
            <w:r w:rsidRPr="00450FB4">
              <w:rPr>
                <w:sz w:val="24"/>
                <w:szCs w:val="24"/>
              </w:rPr>
              <w:t>731.49</w:t>
            </w:r>
          </w:p>
        </w:tc>
        <w:tc>
          <w:tcPr>
            <w:tcW w:w="677" w:type="pct"/>
            <w:hideMark/>
          </w:tcPr>
          <w:p w14:paraId="73706EC2" w14:textId="77777777" w:rsidR="00A95558" w:rsidRPr="00450FB4" w:rsidRDefault="00D67080" w:rsidP="00240B98">
            <w:pPr>
              <w:spacing w:line="276" w:lineRule="auto"/>
              <w:jc w:val="center"/>
              <w:rPr>
                <w:sz w:val="24"/>
                <w:szCs w:val="24"/>
              </w:rPr>
            </w:pPr>
            <w:r w:rsidRPr="00450FB4">
              <w:rPr>
                <w:sz w:val="24"/>
                <w:szCs w:val="24"/>
              </w:rPr>
              <w:t>4.5</w:t>
            </w:r>
          </w:p>
        </w:tc>
        <w:tc>
          <w:tcPr>
            <w:tcW w:w="698" w:type="pct"/>
            <w:hideMark/>
          </w:tcPr>
          <w:p w14:paraId="3B56042F" w14:textId="77777777" w:rsidR="00A95558" w:rsidRPr="00450FB4" w:rsidRDefault="00D67080" w:rsidP="00240B98">
            <w:pPr>
              <w:spacing w:line="276" w:lineRule="auto"/>
              <w:jc w:val="center"/>
              <w:rPr>
                <w:sz w:val="24"/>
                <w:szCs w:val="24"/>
              </w:rPr>
            </w:pPr>
            <w:r w:rsidRPr="00450FB4">
              <w:rPr>
                <w:sz w:val="24"/>
                <w:szCs w:val="24"/>
              </w:rPr>
              <w:t>5957.5</w:t>
            </w:r>
          </w:p>
        </w:tc>
      </w:tr>
      <w:tr w:rsidR="00161788" w:rsidRPr="00450FB4" w14:paraId="39F3E7F6" w14:textId="77777777" w:rsidTr="000C7E69">
        <w:tc>
          <w:tcPr>
            <w:tcW w:w="1182" w:type="pct"/>
            <w:hideMark/>
          </w:tcPr>
          <w:p w14:paraId="781DE1EB" w14:textId="77777777" w:rsidR="00A95558" w:rsidRPr="00450FB4" w:rsidRDefault="00D67080" w:rsidP="00240B98">
            <w:pPr>
              <w:spacing w:line="276" w:lineRule="auto"/>
              <w:jc w:val="both"/>
              <w:rPr>
                <w:sz w:val="24"/>
                <w:szCs w:val="24"/>
              </w:rPr>
            </w:pPr>
            <w:r w:rsidRPr="00450FB4">
              <w:rPr>
                <w:sz w:val="24"/>
                <w:szCs w:val="24"/>
              </w:rPr>
              <w:t>CR</w:t>
            </w:r>
          </w:p>
        </w:tc>
        <w:tc>
          <w:tcPr>
            <w:tcW w:w="314" w:type="pct"/>
            <w:hideMark/>
          </w:tcPr>
          <w:p w14:paraId="2D70F4E0" w14:textId="77777777" w:rsidR="00A95558" w:rsidRPr="00450FB4" w:rsidRDefault="00D67080" w:rsidP="00240B98">
            <w:pPr>
              <w:spacing w:line="276" w:lineRule="auto"/>
              <w:jc w:val="center"/>
              <w:rPr>
                <w:sz w:val="24"/>
                <w:szCs w:val="24"/>
              </w:rPr>
            </w:pPr>
            <w:r w:rsidRPr="00450FB4">
              <w:rPr>
                <w:sz w:val="24"/>
                <w:szCs w:val="24"/>
              </w:rPr>
              <w:t>472</w:t>
            </w:r>
          </w:p>
        </w:tc>
        <w:tc>
          <w:tcPr>
            <w:tcW w:w="477" w:type="pct"/>
            <w:hideMark/>
          </w:tcPr>
          <w:p w14:paraId="616EFCA1" w14:textId="77777777" w:rsidR="00A95558" w:rsidRPr="00450FB4" w:rsidRDefault="00D67080" w:rsidP="00240B98">
            <w:pPr>
              <w:spacing w:line="276" w:lineRule="auto"/>
              <w:jc w:val="center"/>
              <w:rPr>
                <w:sz w:val="24"/>
                <w:szCs w:val="24"/>
              </w:rPr>
            </w:pPr>
            <w:r w:rsidRPr="00450FB4">
              <w:rPr>
                <w:sz w:val="24"/>
                <w:szCs w:val="24"/>
              </w:rPr>
              <w:t>2.2</w:t>
            </w:r>
          </w:p>
        </w:tc>
        <w:tc>
          <w:tcPr>
            <w:tcW w:w="546" w:type="pct"/>
            <w:hideMark/>
          </w:tcPr>
          <w:p w14:paraId="79DEA2B9" w14:textId="77777777" w:rsidR="00A95558" w:rsidRPr="00450FB4" w:rsidRDefault="00D67080" w:rsidP="00240B98">
            <w:pPr>
              <w:spacing w:line="276" w:lineRule="auto"/>
              <w:jc w:val="center"/>
              <w:rPr>
                <w:sz w:val="24"/>
                <w:szCs w:val="24"/>
              </w:rPr>
            </w:pPr>
            <w:r w:rsidRPr="00450FB4">
              <w:rPr>
                <w:sz w:val="24"/>
                <w:szCs w:val="24"/>
              </w:rPr>
              <w:t>1.78</w:t>
            </w:r>
          </w:p>
        </w:tc>
        <w:tc>
          <w:tcPr>
            <w:tcW w:w="1106" w:type="pct"/>
            <w:hideMark/>
          </w:tcPr>
          <w:p w14:paraId="6D15852C" w14:textId="77777777" w:rsidR="00A95558" w:rsidRPr="00450FB4" w:rsidRDefault="00D67080" w:rsidP="00240B98">
            <w:pPr>
              <w:spacing w:line="276" w:lineRule="auto"/>
              <w:jc w:val="center"/>
              <w:rPr>
                <w:sz w:val="24"/>
                <w:szCs w:val="24"/>
              </w:rPr>
            </w:pPr>
            <w:r w:rsidRPr="00450FB4">
              <w:rPr>
                <w:sz w:val="24"/>
                <w:szCs w:val="24"/>
              </w:rPr>
              <w:t>2.1</w:t>
            </w:r>
          </w:p>
        </w:tc>
        <w:tc>
          <w:tcPr>
            <w:tcW w:w="677" w:type="pct"/>
            <w:hideMark/>
          </w:tcPr>
          <w:p w14:paraId="6DA2CD76" w14:textId="77777777" w:rsidR="00A95558" w:rsidRPr="00450FB4" w:rsidRDefault="00D67080" w:rsidP="00240B98">
            <w:pPr>
              <w:spacing w:line="276" w:lineRule="auto"/>
              <w:jc w:val="center"/>
              <w:rPr>
                <w:sz w:val="24"/>
                <w:szCs w:val="24"/>
              </w:rPr>
            </w:pPr>
            <w:r w:rsidRPr="00450FB4">
              <w:rPr>
                <w:sz w:val="24"/>
                <w:szCs w:val="24"/>
              </w:rPr>
              <w:t>0.29</w:t>
            </w:r>
          </w:p>
        </w:tc>
        <w:tc>
          <w:tcPr>
            <w:tcW w:w="698" w:type="pct"/>
            <w:hideMark/>
          </w:tcPr>
          <w:p w14:paraId="19B1180A" w14:textId="77777777" w:rsidR="00A95558" w:rsidRPr="00450FB4" w:rsidRDefault="00D67080" w:rsidP="00240B98">
            <w:pPr>
              <w:spacing w:line="276" w:lineRule="auto"/>
              <w:jc w:val="center"/>
              <w:rPr>
                <w:sz w:val="24"/>
                <w:szCs w:val="24"/>
              </w:rPr>
            </w:pPr>
            <w:r w:rsidRPr="00450FB4">
              <w:rPr>
                <w:sz w:val="24"/>
                <w:szCs w:val="24"/>
              </w:rPr>
              <w:t>26.16</w:t>
            </w:r>
          </w:p>
        </w:tc>
      </w:tr>
      <w:tr w:rsidR="00161788" w:rsidRPr="00450FB4" w14:paraId="504F8D86" w14:textId="77777777" w:rsidTr="000C7E69">
        <w:tc>
          <w:tcPr>
            <w:tcW w:w="1182" w:type="pct"/>
            <w:hideMark/>
          </w:tcPr>
          <w:p w14:paraId="5D16A846" w14:textId="77777777" w:rsidR="00A95558" w:rsidRPr="00450FB4" w:rsidRDefault="00D67080" w:rsidP="00240B98">
            <w:pPr>
              <w:spacing w:line="276" w:lineRule="auto"/>
              <w:jc w:val="both"/>
              <w:rPr>
                <w:sz w:val="24"/>
                <w:szCs w:val="24"/>
              </w:rPr>
            </w:pPr>
            <w:r w:rsidRPr="00450FB4">
              <w:rPr>
                <w:sz w:val="24"/>
                <w:szCs w:val="24"/>
              </w:rPr>
              <w:t>FL</w:t>
            </w:r>
          </w:p>
        </w:tc>
        <w:tc>
          <w:tcPr>
            <w:tcW w:w="314" w:type="pct"/>
            <w:hideMark/>
          </w:tcPr>
          <w:p w14:paraId="49427273" w14:textId="77777777" w:rsidR="00A95558" w:rsidRPr="00450FB4" w:rsidRDefault="00D67080" w:rsidP="00240B98">
            <w:pPr>
              <w:spacing w:line="276" w:lineRule="auto"/>
              <w:jc w:val="center"/>
              <w:rPr>
                <w:sz w:val="24"/>
                <w:szCs w:val="24"/>
              </w:rPr>
            </w:pPr>
            <w:r w:rsidRPr="00450FB4">
              <w:rPr>
                <w:sz w:val="24"/>
                <w:szCs w:val="24"/>
              </w:rPr>
              <w:t>787</w:t>
            </w:r>
          </w:p>
        </w:tc>
        <w:tc>
          <w:tcPr>
            <w:tcW w:w="477" w:type="pct"/>
            <w:hideMark/>
          </w:tcPr>
          <w:p w14:paraId="152D8AA2" w14:textId="77777777" w:rsidR="00A95558" w:rsidRPr="00450FB4" w:rsidRDefault="00D67080" w:rsidP="00240B98">
            <w:pPr>
              <w:spacing w:line="276" w:lineRule="auto"/>
              <w:jc w:val="center"/>
              <w:rPr>
                <w:sz w:val="24"/>
                <w:szCs w:val="24"/>
              </w:rPr>
            </w:pPr>
            <w:r w:rsidRPr="00450FB4">
              <w:rPr>
                <w:sz w:val="24"/>
                <w:szCs w:val="24"/>
              </w:rPr>
              <w:t>131.46</w:t>
            </w:r>
          </w:p>
        </w:tc>
        <w:tc>
          <w:tcPr>
            <w:tcW w:w="546" w:type="pct"/>
            <w:hideMark/>
          </w:tcPr>
          <w:p w14:paraId="0F2C2F10" w14:textId="77777777" w:rsidR="00A95558" w:rsidRPr="00450FB4" w:rsidRDefault="00D67080" w:rsidP="00240B98">
            <w:pPr>
              <w:spacing w:line="276" w:lineRule="auto"/>
              <w:jc w:val="center"/>
              <w:rPr>
                <w:sz w:val="24"/>
                <w:szCs w:val="24"/>
              </w:rPr>
            </w:pPr>
            <w:r w:rsidRPr="00450FB4">
              <w:rPr>
                <w:sz w:val="24"/>
                <w:szCs w:val="24"/>
              </w:rPr>
              <w:t>74.78</w:t>
            </w:r>
          </w:p>
        </w:tc>
        <w:tc>
          <w:tcPr>
            <w:tcW w:w="1106" w:type="pct"/>
            <w:hideMark/>
          </w:tcPr>
          <w:p w14:paraId="2D1633DC" w14:textId="77777777" w:rsidR="00A95558" w:rsidRPr="00450FB4" w:rsidRDefault="00D67080" w:rsidP="00240B98">
            <w:pPr>
              <w:spacing w:line="276" w:lineRule="auto"/>
              <w:jc w:val="center"/>
              <w:rPr>
                <w:sz w:val="24"/>
                <w:szCs w:val="24"/>
              </w:rPr>
            </w:pPr>
            <w:r w:rsidRPr="00450FB4">
              <w:rPr>
                <w:sz w:val="24"/>
                <w:szCs w:val="24"/>
              </w:rPr>
              <w:t>165.46</w:t>
            </w:r>
          </w:p>
        </w:tc>
        <w:tc>
          <w:tcPr>
            <w:tcW w:w="677" w:type="pct"/>
            <w:hideMark/>
          </w:tcPr>
          <w:p w14:paraId="47D0377E" w14:textId="77777777" w:rsidR="00A95558" w:rsidRPr="00450FB4" w:rsidRDefault="00D67080" w:rsidP="00240B98">
            <w:pPr>
              <w:spacing w:line="276" w:lineRule="auto"/>
              <w:jc w:val="center"/>
              <w:rPr>
                <w:sz w:val="24"/>
                <w:szCs w:val="24"/>
              </w:rPr>
            </w:pPr>
            <w:r w:rsidRPr="00450FB4">
              <w:rPr>
                <w:sz w:val="24"/>
                <w:szCs w:val="24"/>
              </w:rPr>
              <w:t>0</w:t>
            </w:r>
          </w:p>
        </w:tc>
        <w:tc>
          <w:tcPr>
            <w:tcW w:w="698" w:type="pct"/>
            <w:hideMark/>
          </w:tcPr>
          <w:p w14:paraId="19EDBBEF" w14:textId="77777777" w:rsidR="00A95558" w:rsidRPr="00450FB4" w:rsidRDefault="00D67080" w:rsidP="00240B98">
            <w:pPr>
              <w:spacing w:line="276" w:lineRule="auto"/>
              <w:jc w:val="center"/>
              <w:rPr>
                <w:sz w:val="24"/>
                <w:szCs w:val="24"/>
              </w:rPr>
            </w:pPr>
            <w:r w:rsidRPr="00450FB4">
              <w:rPr>
                <w:sz w:val="24"/>
                <w:szCs w:val="24"/>
              </w:rPr>
              <w:t>1132.69</w:t>
            </w:r>
          </w:p>
        </w:tc>
      </w:tr>
      <w:tr w:rsidR="00161788" w:rsidRPr="00450FB4" w14:paraId="32CFF90C" w14:textId="77777777" w:rsidTr="000C7E69">
        <w:tc>
          <w:tcPr>
            <w:tcW w:w="1182" w:type="pct"/>
            <w:hideMark/>
          </w:tcPr>
          <w:p w14:paraId="16F53562" w14:textId="77777777" w:rsidR="00A95558" w:rsidRPr="00450FB4" w:rsidRDefault="00D67080" w:rsidP="00240B98">
            <w:pPr>
              <w:spacing w:line="276" w:lineRule="auto"/>
              <w:jc w:val="both"/>
              <w:rPr>
                <w:sz w:val="24"/>
                <w:szCs w:val="24"/>
              </w:rPr>
            </w:pPr>
            <w:r w:rsidRPr="00450FB4">
              <w:rPr>
                <w:sz w:val="24"/>
                <w:szCs w:val="24"/>
              </w:rPr>
              <w:t>Log_AS</w:t>
            </w:r>
          </w:p>
        </w:tc>
        <w:tc>
          <w:tcPr>
            <w:tcW w:w="314" w:type="pct"/>
            <w:hideMark/>
          </w:tcPr>
          <w:p w14:paraId="580DB310" w14:textId="77777777" w:rsidR="00A95558" w:rsidRPr="00450FB4" w:rsidRDefault="00D67080" w:rsidP="00240B98">
            <w:pPr>
              <w:spacing w:line="276" w:lineRule="auto"/>
              <w:jc w:val="center"/>
              <w:rPr>
                <w:sz w:val="24"/>
                <w:szCs w:val="24"/>
              </w:rPr>
            </w:pPr>
            <w:r w:rsidRPr="00450FB4">
              <w:rPr>
                <w:sz w:val="24"/>
                <w:szCs w:val="24"/>
              </w:rPr>
              <w:t>818</w:t>
            </w:r>
          </w:p>
        </w:tc>
        <w:tc>
          <w:tcPr>
            <w:tcW w:w="477" w:type="pct"/>
            <w:hideMark/>
          </w:tcPr>
          <w:p w14:paraId="209B4B13" w14:textId="77777777" w:rsidR="00A95558" w:rsidRPr="00450FB4" w:rsidRDefault="00D67080" w:rsidP="00240B98">
            <w:pPr>
              <w:spacing w:line="276" w:lineRule="auto"/>
              <w:jc w:val="center"/>
              <w:rPr>
                <w:sz w:val="24"/>
                <w:szCs w:val="24"/>
              </w:rPr>
            </w:pPr>
            <w:r w:rsidRPr="00450FB4">
              <w:rPr>
                <w:sz w:val="24"/>
                <w:szCs w:val="24"/>
              </w:rPr>
              <w:t>12</w:t>
            </w:r>
          </w:p>
        </w:tc>
        <w:tc>
          <w:tcPr>
            <w:tcW w:w="546" w:type="pct"/>
            <w:hideMark/>
          </w:tcPr>
          <w:p w14:paraId="009BDEB7" w14:textId="77777777" w:rsidR="00A95558" w:rsidRPr="00450FB4" w:rsidRDefault="00D67080" w:rsidP="00240B98">
            <w:pPr>
              <w:spacing w:line="276" w:lineRule="auto"/>
              <w:jc w:val="center"/>
              <w:rPr>
                <w:sz w:val="24"/>
                <w:szCs w:val="24"/>
              </w:rPr>
            </w:pPr>
            <w:r w:rsidRPr="00450FB4">
              <w:rPr>
                <w:sz w:val="24"/>
                <w:szCs w:val="24"/>
              </w:rPr>
              <w:t>12.18</w:t>
            </w:r>
          </w:p>
        </w:tc>
        <w:tc>
          <w:tcPr>
            <w:tcW w:w="1106" w:type="pct"/>
            <w:hideMark/>
          </w:tcPr>
          <w:p w14:paraId="76BBB88B" w14:textId="77777777" w:rsidR="00A95558" w:rsidRPr="00450FB4" w:rsidRDefault="00D67080" w:rsidP="00240B98">
            <w:pPr>
              <w:spacing w:line="276" w:lineRule="auto"/>
              <w:jc w:val="center"/>
              <w:rPr>
                <w:sz w:val="24"/>
                <w:szCs w:val="24"/>
              </w:rPr>
            </w:pPr>
            <w:r w:rsidRPr="00450FB4">
              <w:rPr>
                <w:sz w:val="24"/>
                <w:szCs w:val="24"/>
              </w:rPr>
              <w:t>2.59</w:t>
            </w:r>
          </w:p>
        </w:tc>
        <w:tc>
          <w:tcPr>
            <w:tcW w:w="677" w:type="pct"/>
            <w:hideMark/>
          </w:tcPr>
          <w:p w14:paraId="1AA390D4" w14:textId="77777777" w:rsidR="00A95558" w:rsidRPr="00450FB4" w:rsidRDefault="00D67080" w:rsidP="00240B98">
            <w:pPr>
              <w:spacing w:line="276" w:lineRule="auto"/>
              <w:jc w:val="center"/>
              <w:rPr>
                <w:sz w:val="24"/>
                <w:szCs w:val="24"/>
              </w:rPr>
            </w:pPr>
            <w:r w:rsidRPr="00450FB4">
              <w:rPr>
                <w:sz w:val="24"/>
                <w:szCs w:val="24"/>
              </w:rPr>
              <w:t>-0.69</w:t>
            </w:r>
          </w:p>
        </w:tc>
        <w:tc>
          <w:tcPr>
            <w:tcW w:w="698" w:type="pct"/>
            <w:hideMark/>
          </w:tcPr>
          <w:p w14:paraId="0FF7DC6D" w14:textId="77777777" w:rsidR="00A95558" w:rsidRPr="00450FB4" w:rsidRDefault="00D67080" w:rsidP="00240B98">
            <w:pPr>
              <w:spacing w:line="276" w:lineRule="auto"/>
              <w:jc w:val="center"/>
              <w:rPr>
                <w:sz w:val="24"/>
                <w:szCs w:val="24"/>
              </w:rPr>
            </w:pPr>
            <w:r w:rsidRPr="00450FB4">
              <w:rPr>
                <w:sz w:val="24"/>
                <w:szCs w:val="24"/>
              </w:rPr>
              <w:t>17.9</w:t>
            </w:r>
          </w:p>
        </w:tc>
      </w:tr>
    </w:tbl>
    <w:p w14:paraId="6F9204B8" w14:textId="77777777" w:rsidR="00A95558" w:rsidRPr="00450FB4" w:rsidRDefault="00A95558" w:rsidP="00A95558">
      <w:pPr>
        <w:widowControl/>
        <w:suppressAutoHyphens/>
        <w:autoSpaceDE/>
        <w:autoSpaceDN/>
        <w:jc w:val="both"/>
        <w:rPr>
          <w:b/>
          <w:color w:val="000000"/>
          <w:kern w:val="1"/>
          <w:sz w:val="24"/>
          <w:szCs w:val="24"/>
          <w:u w:val="single"/>
          <w:lang w:eastAsia="ar-SA"/>
        </w:rPr>
      </w:pPr>
    </w:p>
    <w:p w14:paraId="4FCBEBFF" w14:textId="77777777" w:rsidR="00A95558" w:rsidRPr="00450FB4" w:rsidRDefault="00A95558" w:rsidP="00A95558">
      <w:pPr>
        <w:widowControl/>
        <w:suppressAutoHyphens/>
        <w:autoSpaceDE/>
        <w:autoSpaceDN/>
        <w:ind w:left="360"/>
        <w:jc w:val="both"/>
        <w:rPr>
          <w:bCs/>
          <w:color w:val="000000"/>
          <w:kern w:val="1"/>
          <w:sz w:val="24"/>
          <w:szCs w:val="24"/>
          <w:lang w:eastAsia="ar-SA"/>
        </w:rPr>
      </w:pPr>
    </w:p>
    <w:p w14:paraId="5D2977DE" w14:textId="77777777" w:rsidR="00240B98" w:rsidRPr="00450FB4" w:rsidRDefault="00240B98" w:rsidP="00A95558">
      <w:pPr>
        <w:widowControl/>
        <w:suppressAutoHyphens/>
        <w:autoSpaceDE/>
        <w:autoSpaceDN/>
        <w:ind w:left="360"/>
        <w:jc w:val="both"/>
        <w:rPr>
          <w:bCs/>
          <w:color w:val="000000"/>
          <w:kern w:val="1"/>
          <w:sz w:val="24"/>
          <w:szCs w:val="24"/>
          <w:lang w:eastAsia="ar-SA"/>
        </w:rPr>
      </w:pPr>
    </w:p>
    <w:p w14:paraId="1AE85E83" w14:textId="77777777" w:rsidR="00A95558" w:rsidRPr="00450FB4" w:rsidRDefault="00D67080" w:rsidP="00A95558">
      <w:pPr>
        <w:widowControl/>
        <w:numPr>
          <w:ilvl w:val="1"/>
          <w:numId w:val="18"/>
        </w:numPr>
        <w:suppressAutoHyphens/>
        <w:autoSpaceDE/>
        <w:autoSpaceDN/>
        <w:spacing w:after="160" w:line="480" w:lineRule="auto"/>
        <w:ind w:left="360"/>
        <w:jc w:val="both"/>
        <w:rPr>
          <w:b/>
          <w:bCs/>
          <w:i/>
          <w:iCs/>
          <w:color w:val="000000"/>
          <w:kern w:val="1"/>
          <w:sz w:val="24"/>
          <w:szCs w:val="24"/>
          <w:lang w:eastAsia="ar-SA"/>
        </w:rPr>
      </w:pPr>
      <w:r w:rsidRPr="00450FB4">
        <w:rPr>
          <w:b/>
          <w:bCs/>
          <w:i/>
          <w:iCs/>
          <w:color w:val="000000"/>
          <w:kern w:val="1"/>
          <w:sz w:val="24"/>
          <w:szCs w:val="24"/>
          <w:lang w:eastAsia="ar-SA"/>
        </w:rPr>
        <w:t>Paired-Sample T-test Analysis</w:t>
      </w:r>
    </w:p>
    <w:p w14:paraId="5F7E796A" w14:textId="77777777" w:rsidR="00A95558" w:rsidRPr="00450FB4" w:rsidRDefault="00D67080" w:rsidP="00A95558">
      <w:pPr>
        <w:widowControl/>
        <w:suppressAutoHyphens/>
        <w:autoSpaceDE/>
        <w:autoSpaceDN/>
        <w:spacing w:after="160"/>
        <w:jc w:val="both"/>
        <w:rPr>
          <w:bCs/>
          <w:color w:val="000000"/>
          <w:kern w:val="1"/>
          <w:sz w:val="24"/>
          <w:szCs w:val="24"/>
          <w:lang w:eastAsia="ar-SA"/>
        </w:rPr>
      </w:pPr>
      <w:bookmarkStart w:id="16" w:name="_Hlk173006049"/>
      <w:r w:rsidRPr="00450FB4">
        <w:rPr>
          <w:bCs/>
          <w:color w:val="000000"/>
          <w:kern w:val="1"/>
          <w:sz w:val="24"/>
          <w:szCs w:val="24"/>
          <w:lang w:eastAsia="ar-SA"/>
        </w:rPr>
        <w:t xml:space="preserve">Table 4 presents paired sample statistics comparing various financial variables before (Pre) and after (Post) mergers. Return on Assets (ROA) decreases from </w:t>
      </w:r>
      <w:bookmarkEnd w:id="16"/>
      <w:r w:rsidRPr="00450FB4">
        <w:rPr>
          <w:bCs/>
          <w:color w:val="000000"/>
          <w:kern w:val="1"/>
          <w:sz w:val="24"/>
          <w:szCs w:val="24"/>
          <w:lang w:eastAsia="ar-SA"/>
        </w:rPr>
        <w:t xml:space="preserve">6.342 to 5.006, with standard deviations of 8.143 and 8.384, respectively. Net Profit Margin (NPM) decreases from 11.014 to 9.395, with standard deviations of 14.367 and 17.882. Average Share Price (ASP) increases notably from 346.870 INR to 652.691 INR, reflecting significant variability with standard deviations of 428.888 INR and 913.002 INR. Current Ratio (CR) remains relatively stable, with slight increases from 2.184 to 2.208 and standard deviations of 1.658 and 2.455. Financial Leverage (FL) decreases from 134.423 to 129.620, with </w:t>
      </w:r>
      <w:r w:rsidRPr="00450FB4">
        <w:rPr>
          <w:bCs/>
          <w:color w:val="000000"/>
          <w:kern w:val="1"/>
          <w:sz w:val="24"/>
          <w:szCs w:val="24"/>
          <w:lang w:eastAsia="ar-SA"/>
        </w:rPr>
        <w:lastRenderedPageBreak/>
        <w:t xml:space="preserve">standard deviations of 171.682 and 162.360. The logarithm of Total Assets (L_AS) increases from 11.622 to 12.301, with standard deviations of 2.563 and 2.453. These statistics provide insights into how these financial metrics fluctuate around the merger event, indicating potential impacts on financial performance and stability post-merger. </w:t>
      </w:r>
      <w:bookmarkStart w:id="17" w:name="_Hlk173006210"/>
    </w:p>
    <w:p w14:paraId="1204CFB2" w14:textId="77777777" w:rsidR="00A95558" w:rsidRPr="00450FB4" w:rsidRDefault="00D67080" w:rsidP="00A95558">
      <w:pPr>
        <w:widowControl/>
        <w:suppressAutoHyphens/>
        <w:autoSpaceDE/>
        <w:autoSpaceDN/>
        <w:jc w:val="center"/>
        <w:rPr>
          <w:b/>
          <w:color w:val="000000"/>
          <w:kern w:val="1"/>
          <w:sz w:val="24"/>
          <w:szCs w:val="24"/>
          <w:lang w:eastAsia="ar-SA"/>
        </w:rPr>
      </w:pPr>
      <w:r w:rsidRPr="00450FB4">
        <w:rPr>
          <w:b/>
          <w:color w:val="000000"/>
          <w:kern w:val="1"/>
          <w:sz w:val="24"/>
          <w:szCs w:val="24"/>
          <w:lang w:eastAsia="ar-SA"/>
        </w:rPr>
        <w:t>Table 4: Paired Sample Statistics of ROA, NPM, ASP, CR, FL, and AS Pre and Post Mergers</w:t>
      </w:r>
    </w:p>
    <w:bookmarkEnd w:id="17"/>
    <w:tbl>
      <w:tblPr>
        <w:tblStyle w:val="TableGrid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1474"/>
        <w:gridCol w:w="919"/>
        <w:gridCol w:w="664"/>
        <w:gridCol w:w="1754"/>
        <w:gridCol w:w="2027"/>
      </w:tblGrid>
      <w:tr w:rsidR="00161788" w:rsidRPr="00450FB4" w14:paraId="65EC7CA8" w14:textId="77777777" w:rsidTr="000C7E69">
        <w:trPr>
          <w:trHeight w:val="264"/>
        </w:trPr>
        <w:tc>
          <w:tcPr>
            <w:tcW w:w="560" w:type="pct"/>
            <w:tcBorders>
              <w:top w:val="single" w:sz="4" w:space="0" w:color="auto"/>
              <w:bottom w:val="single" w:sz="4" w:space="0" w:color="auto"/>
            </w:tcBorders>
          </w:tcPr>
          <w:p w14:paraId="5DA0A0A0" w14:textId="77777777" w:rsidR="00A95558" w:rsidRPr="00450FB4" w:rsidRDefault="00A95558" w:rsidP="00240B98">
            <w:pPr>
              <w:spacing w:line="240" w:lineRule="auto"/>
              <w:rPr>
                <w:b/>
                <w:bCs/>
                <w:sz w:val="24"/>
                <w:szCs w:val="24"/>
              </w:rPr>
            </w:pPr>
          </w:p>
        </w:tc>
        <w:tc>
          <w:tcPr>
            <w:tcW w:w="957" w:type="pct"/>
            <w:tcBorders>
              <w:top w:val="single" w:sz="4" w:space="0" w:color="auto"/>
              <w:bottom w:val="single" w:sz="4" w:space="0" w:color="auto"/>
            </w:tcBorders>
            <w:hideMark/>
          </w:tcPr>
          <w:p w14:paraId="763F0678" w14:textId="77777777" w:rsidR="00A95558" w:rsidRPr="00450FB4" w:rsidRDefault="00D67080" w:rsidP="00240B98">
            <w:pPr>
              <w:spacing w:line="240" w:lineRule="auto"/>
              <w:rPr>
                <w:b/>
                <w:bCs/>
                <w:sz w:val="24"/>
                <w:szCs w:val="24"/>
              </w:rPr>
            </w:pPr>
            <w:r w:rsidRPr="00450FB4">
              <w:rPr>
                <w:b/>
                <w:bCs/>
                <w:sz w:val="24"/>
                <w:szCs w:val="24"/>
              </w:rPr>
              <w:t>Description</w:t>
            </w:r>
          </w:p>
        </w:tc>
        <w:tc>
          <w:tcPr>
            <w:tcW w:w="597" w:type="pct"/>
            <w:tcBorders>
              <w:top w:val="single" w:sz="4" w:space="0" w:color="auto"/>
              <w:bottom w:val="single" w:sz="4" w:space="0" w:color="auto"/>
            </w:tcBorders>
            <w:hideMark/>
          </w:tcPr>
          <w:p w14:paraId="6AE81C75" w14:textId="77777777" w:rsidR="00A95558" w:rsidRPr="00450FB4" w:rsidRDefault="00D67080" w:rsidP="00240B98">
            <w:pPr>
              <w:spacing w:line="240" w:lineRule="auto"/>
              <w:rPr>
                <w:b/>
                <w:bCs/>
                <w:sz w:val="24"/>
                <w:szCs w:val="24"/>
              </w:rPr>
            </w:pPr>
            <w:r w:rsidRPr="00450FB4">
              <w:rPr>
                <w:b/>
                <w:bCs/>
                <w:sz w:val="24"/>
                <w:szCs w:val="24"/>
              </w:rPr>
              <w:t>Mean</w:t>
            </w:r>
          </w:p>
        </w:tc>
        <w:tc>
          <w:tcPr>
            <w:tcW w:w="431" w:type="pct"/>
            <w:tcBorders>
              <w:top w:val="single" w:sz="4" w:space="0" w:color="auto"/>
              <w:bottom w:val="single" w:sz="4" w:space="0" w:color="auto"/>
            </w:tcBorders>
            <w:hideMark/>
          </w:tcPr>
          <w:p w14:paraId="65989FE0" w14:textId="77777777" w:rsidR="00A95558" w:rsidRPr="00450FB4" w:rsidRDefault="00D67080" w:rsidP="00240B98">
            <w:pPr>
              <w:spacing w:line="240" w:lineRule="auto"/>
              <w:rPr>
                <w:b/>
                <w:bCs/>
                <w:sz w:val="24"/>
                <w:szCs w:val="24"/>
              </w:rPr>
            </w:pPr>
            <w:r w:rsidRPr="00450FB4">
              <w:rPr>
                <w:b/>
                <w:bCs/>
                <w:sz w:val="24"/>
                <w:szCs w:val="24"/>
              </w:rPr>
              <w:t>N</w:t>
            </w:r>
          </w:p>
        </w:tc>
        <w:tc>
          <w:tcPr>
            <w:tcW w:w="1139" w:type="pct"/>
            <w:tcBorders>
              <w:top w:val="single" w:sz="4" w:space="0" w:color="auto"/>
              <w:bottom w:val="single" w:sz="4" w:space="0" w:color="auto"/>
            </w:tcBorders>
            <w:hideMark/>
          </w:tcPr>
          <w:p w14:paraId="2B3A3974" w14:textId="77777777" w:rsidR="00A95558" w:rsidRPr="00450FB4" w:rsidRDefault="00D67080" w:rsidP="00240B98">
            <w:pPr>
              <w:spacing w:line="240" w:lineRule="auto"/>
              <w:rPr>
                <w:b/>
                <w:bCs/>
                <w:sz w:val="24"/>
                <w:szCs w:val="24"/>
              </w:rPr>
            </w:pPr>
            <w:r w:rsidRPr="00450FB4">
              <w:rPr>
                <w:b/>
                <w:bCs/>
                <w:sz w:val="24"/>
                <w:szCs w:val="24"/>
              </w:rPr>
              <w:t>Std. Deviation</w:t>
            </w:r>
          </w:p>
        </w:tc>
        <w:tc>
          <w:tcPr>
            <w:tcW w:w="1316" w:type="pct"/>
            <w:tcBorders>
              <w:top w:val="single" w:sz="4" w:space="0" w:color="auto"/>
              <w:bottom w:val="single" w:sz="4" w:space="0" w:color="auto"/>
            </w:tcBorders>
            <w:hideMark/>
          </w:tcPr>
          <w:p w14:paraId="73BAF240" w14:textId="77777777" w:rsidR="00A95558" w:rsidRPr="00450FB4" w:rsidRDefault="00D67080" w:rsidP="00240B98">
            <w:pPr>
              <w:spacing w:line="240" w:lineRule="auto"/>
              <w:rPr>
                <w:b/>
                <w:bCs/>
                <w:sz w:val="24"/>
                <w:szCs w:val="24"/>
              </w:rPr>
            </w:pPr>
            <w:r w:rsidRPr="00450FB4">
              <w:rPr>
                <w:b/>
                <w:bCs/>
                <w:sz w:val="24"/>
                <w:szCs w:val="24"/>
              </w:rPr>
              <w:t>Std. Error Mean</w:t>
            </w:r>
          </w:p>
        </w:tc>
      </w:tr>
      <w:tr w:rsidR="00161788" w:rsidRPr="00450FB4" w14:paraId="37731D00" w14:textId="77777777" w:rsidTr="000C7E69">
        <w:trPr>
          <w:trHeight w:val="269"/>
        </w:trPr>
        <w:tc>
          <w:tcPr>
            <w:tcW w:w="560" w:type="pct"/>
            <w:vMerge w:val="restart"/>
            <w:tcBorders>
              <w:top w:val="single" w:sz="4" w:space="0" w:color="auto"/>
            </w:tcBorders>
          </w:tcPr>
          <w:p w14:paraId="3C77192A" w14:textId="77777777" w:rsidR="00A95558" w:rsidRPr="00450FB4" w:rsidRDefault="00D67080" w:rsidP="00240B98">
            <w:pPr>
              <w:spacing w:line="240" w:lineRule="auto"/>
              <w:rPr>
                <w:sz w:val="24"/>
                <w:szCs w:val="24"/>
              </w:rPr>
            </w:pPr>
            <w:r w:rsidRPr="00450FB4">
              <w:rPr>
                <w:b/>
                <w:bCs/>
                <w:sz w:val="24"/>
                <w:szCs w:val="24"/>
              </w:rPr>
              <w:t>Pair 1</w:t>
            </w:r>
          </w:p>
        </w:tc>
        <w:tc>
          <w:tcPr>
            <w:tcW w:w="957" w:type="pct"/>
            <w:tcBorders>
              <w:top w:val="single" w:sz="4" w:space="0" w:color="auto"/>
            </w:tcBorders>
            <w:hideMark/>
          </w:tcPr>
          <w:p w14:paraId="400D3BD2" w14:textId="77777777" w:rsidR="00A95558" w:rsidRPr="00450FB4" w:rsidRDefault="00D67080" w:rsidP="00240B98">
            <w:pPr>
              <w:spacing w:line="240" w:lineRule="auto"/>
              <w:rPr>
                <w:sz w:val="24"/>
                <w:szCs w:val="24"/>
              </w:rPr>
            </w:pPr>
            <w:r w:rsidRPr="00450FB4">
              <w:rPr>
                <w:sz w:val="24"/>
                <w:szCs w:val="24"/>
              </w:rPr>
              <w:t>ROA_Pre</w:t>
            </w:r>
          </w:p>
        </w:tc>
        <w:tc>
          <w:tcPr>
            <w:tcW w:w="597" w:type="pct"/>
            <w:tcBorders>
              <w:top w:val="single" w:sz="4" w:space="0" w:color="auto"/>
            </w:tcBorders>
            <w:hideMark/>
          </w:tcPr>
          <w:p w14:paraId="56BCBFC7" w14:textId="77777777" w:rsidR="00A95558" w:rsidRPr="00450FB4" w:rsidRDefault="00D67080" w:rsidP="00240B98">
            <w:pPr>
              <w:spacing w:line="240" w:lineRule="auto"/>
              <w:jc w:val="center"/>
              <w:rPr>
                <w:sz w:val="24"/>
                <w:szCs w:val="24"/>
              </w:rPr>
            </w:pPr>
            <w:r w:rsidRPr="00450FB4">
              <w:rPr>
                <w:sz w:val="24"/>
                <w:szCs w:val="24"/>
              </w:rPr>
              <w:t>6.34</w:t>
            </w:r>
          </w:p>
        </w:tc>
        <w:tc>
          <w:tcPr>
            <w:tcW w:w="431" w:type="pct"/>
            <w:tcBorders>
              <w:top w:val="single" w:sz="4" w:space="0" w:color="auto"/>
            </w:tcBorders>
            <w:hideMark/>
          </w:tcPr>
          <w:p w14:paraId="221622FD" w14:textId="77777777" w:rsidR="00A95558" w:rsidRPr="00450FB4" w:rsidRDefault="00D67080" w:rsidP="00240B98">
            <w:pPr>
              <w:spacing w:line="240" w:lineRule="auto"/>
              <w:jc w:val="center"/>
              <w:rPr>
                <w:sz w:val="24"/>
                <w:szCs w:val="24"/>
              </w:rPr>
            </w:pPr>
            <w:r w:rsidRPr="00450FB4">
              <w:rPr>
                <w:sz w:val="24"/>
                <w:szCs w:val="24"/>
              </w:rPr>
              <w:t>336</w:t>
            </w:r>
          </w:p>
        </w:tc>
        <w:tc>
          <w:tcPr>
            <w:tcW w:w="1139" w:type="pct"/>
            <w:tcBorders>
              <w:top w:val="single" w:sz="4" w:space="0" w:color="auto"/>
            </w:tcBorders>
            <w:hideMark/>
          </w:tcPr>
          <w:p w14:paraId="46491AC1" w14:textId="77777777" w:rsidR="00A95558" w:rsidRPr="00450FB4" w:rsidRDefault="00D67080" w:rsidP="00240B98">
            <w:pPr>
              <w:spacing w:line="240" w:lineRule="auto"/>
              <w:jc w:val="center"/>
              <w:rPr>
                <w:sz w:val="24"/>
                <w:szCs w:val="24"/>
              </w:rPr>
            </w:pPr>
            <w:r w:rsidRPr="00450FB4">
              <w:rPr>
                <w:sz w:val="24"/>
                <w:szCs w:val="24"/>
              </w:rPr>
              <w:t>8.14</w:t>
            </w:r>
          </w:p>
        </w:tc>
        <w:tc>
          <w:tcPr>
            <w:tcW w:w="1316" w:type="pct"/>
            <w:tcBorders>
              <w:top w:val="single" w:sz="4" w:space="0" w:color="auto"/>
            </w:tcBorders>
            <w:hideMark/>
          </w:tcPr>
          <w:p w14:paraId="7D942597" w14:textId="77777777" w:rsidR="00A95558" w:rsidRPr="00450FB4" w:rsidRDefault="00D67080" w:rsidP="00240B98">
            <w:pPr>
              <w:spacing w:line="240" w:lineRule="auto"/>
              <w:jc w:val="center"/>
              <w:rPr>
                <w:sz w:val="24"/>
                <w:szCs w:val="24"/>
              </w:rPr>
            </w:pPr>
            <w:r w:rsidRPr="00450FB4">
              <w:rPr>
                <w:sz w:val="24"/>
                <w:szCs w:val="24"/>
              </w:rPr>
              <w:t>0.44</w:t>
            </w:r>
          </w:p>
        </w:tc>
      </w:tr>
      <w:tr w:rsidR="00161788" w:rsidRPr="00450FB4" w14:paraId="24C4F8C5" w14:textId="77777777" w:rsidTr="000C7E69">
        <w:trPr>
          <w:trHeight w:val="264"/>
        </w:trPr>
        <w:tc>
          <w:tcPr>
            <w:tcW w:w="560" w:type="pct"/>
            <w:vMerge/>
          </w:tcPr>
          <w:p w14:paraId="562C4850" w14:textId="77777777" w:rsidR="00A95558" w:rsidRPr="00450FB4" w:rsidRDefault="00A95558" w:rsidP="00240B98">
            <w:pPr>
              <w:spacing w:line="240" w:lineRule="auto"/>
              <w:rPr>
                <w:sz w:val="24"/>
                <w:szCs w:val="24"/>
              </w:rPr>
            </w:pPr>
          </w:p>
        </w:tc>
        <w:tc>
          <w:tcPr>
            <w:tcW w:w="957" w:type="pct"/>
            <w:hideMark/>
          </w:tcPr>
          <w:p w14:paraId="7BDF118E" w14:textId="77777777" w:rsidR="00A95558" w:rsidRPr="00450FB4" w:rsidRDefault="00D67080" w:rsidP="00240B98">
            <w:pPr>
              <w:spacing w:line="240" w:lineRule="auto"/>
              <w:rPr>
                <w:sz w:val="24"/>
                <w:szCs w:val="24"/>
              </w:rPr>
            </w:pPr>
            <w:r w:rsidRPr="00450FB4">
              <w:rPr>
                <w:sz w:val="24"/>
                <w:szCs w:val="24"/>
              </w:rPr>
              <w:t>ROA_post</w:t>
            </w:r>
          </w:p>
        </w:tc>
        <w:tc>
          <w:tcPr>
            <w:tcW w:w="597" w:type="pct"/>
            <w:hideMark/>
          </w:tcPr>
          <w:p w14:paraId="37B17563" w14:textId="77777777" w:rsidR="00A95558" w:rsidRPr="00450FB4" w:rsidRDefault="00D67080" w:rsidP="00240B98">
            <w:pPr>
              <w:spacing w:line="240" w:lineRule="auto"/>
              <w:jc w:val="center"/>
              <w:rPr>
                <w:sz w:val="24"/>
                <w:szCs w:val="24"/>
              </w:rPr>
            </w:pPr>
            <w:r w:rsidRPr="00450FB4">
              <w:rPr>
                <w:sz w:val="24"/>
                <w:szCs w:val="24"/>
              </w:rPr>
              <w:t>5.00</w:t>
            </w:r>
          </w:p>
        </w:tc>
        <w:tc>
          <w:tcPr>
            <w:tcW w:w="431" w:type="pct"/>
            <w:hideMark/>
          </w:tcPr>
          <w:p w14:paraId="2DF13A19" w14:textId="77777777" w:rsidR="00A95558" w:rsidRPr="00450FB4" w:rsidRDefault="00D67080" w:rsidP="00240B98">
            <w:pPr>
              <w:spacing w:line="240" w:lineRule="auto"/>
              <w:jc w:val="center"/>
              <w:rPr>
                <w:sz w:val="24"/>
                <w:szCs w:val="24"/>
              </w:rPr>
            </w:pPr>
            <w:r w:rsidRPr="00450FB4">
              <w:rPr>
                <w:sz w:val="24"/>
                <w:szCs w:val="24"/>
              </w:rPr>
              <w:t>336</w:t>
            </w:r>
          </w:p>
        </w:tc>
        <w:tc>
          <w:tcPr>
            <w:tcW w:w="1139" w:type="pct"/>
            <w:hideMark/>
          </w:tcPr>
          <w:p w14:paraId="1A4E9079" w14:textId="77777777" w:rsidR="00A95558" w:rsidRPr="00450FB4" w:rsidRDefault="00D67080" w:rsidP="00240B98">
            <w:pPr>
              <w:spacing w:line="240" w:lineRule="auto"/>
              <w:jc w:val="center"/>
              <w:rPr>
                <w:sz w:val="24"/>
                <w:szCs w:val="24"/>
              </w:rPr>
            </w:pPr>
            <w:r w:rsidRPr="00450FB4">
              <w:rPr>
                <w:sz w:val="24"/>
                <w:szCs w:val="24"/>
              </w:rPr>
              <w:t>8.38</w:t>
            </w:r>
          </w:p>
        </w:tc>
        <w:tc>
          <w:tcPr>
            <w:tcW w:w="1316" w:type="pct"/>
            <w:hideMark/>
          </w:tcPr>
          <w:p w14:paraId="53093F0F" w14:textId="77777777" w:rsidR="00A95558" w:rsidRPr="00450FB4" w:rsidRDefault="00D67080" w:rsidP="00240B98">
            <w:pPr>
              <w:spacing w:line="240" w:lineRule="auto"/>
              <w:jc w:val="center"/>
              <w:rPr>
                <w:sz w:val="24"/>
                <w:szCs w:val="24"/>
              </w:rPr>
            </w:pPr>
            <w:r w:rsidRPr="00450FB4">
              <w:rPr>
                <w:sz w:val="24"/>
                <w:szCs w:val="24"/>
              </w:rPr>
              <w:t>0.45</w:t>
            </w:r>
          </w:p>
        </w:tc>
      </w:tr>
      <w:tr w:rsidR="00161788" w:rsidRPr="00450FB4" w14:paraId="5F12F617" w14:textId="77777777" w:rsidTr="000C7E69">
        <w:trPr>
          <w:trHeight w:val="269"/>
        </w:trPr>
        <w:tc>
          <w:tcPr>
            <w:tcW w:w="560" w:type="pct"/>
            <w:vMerge w:val="restart"/>
          </w:tcPr>
          <w:p w14:paraId="33885AA2" w14:textId="77777777" w:rsidR="00A95558" w:rsidRPr="00450FB4" w:rsidRDefault="00D67080" w:rsidP="00240B98">
            <w:pPr>
              <w:spacing w:line="240" w:lineRule="auto"/>
              <w:rPr>
                <w:sz w:val="24"/>
                <w:szCs w:val="24"/>
              </w:rPr>
            </w:pPr>
            <w:r w:rsidRPr="00450FB4">
              <w:rPr>
                <w:b/>
                <w:bCs/>
                <w:sz w:val="24"/>
                <w:szCs w:val="24"/>
              </w:rPr>
              <w:t>Pair 2</w:t>
            </w:r>
          </w:p>
        </w:tc>
        <w:tc>
          <w:tcPr>
            <w:tcW w:w="957" w:type="pct"/>
            <w:hideMark/>
          </w:tcPr>
          <w:p w14:paraId="1109D41E" w14:textId="77777777" w:rsidR="00A95558" w:rsidRPr="00450FB4" w:rsidRDefault="00D67080" w:rsidP="00240B98">
            <w:pPr>
              <w:spacing w:line="240" w:lineRule="auto"/>
              <w:rPr>
                <w:sz w:val="24"/>
                <w:szCs w:val="24"/>
              </w:rPr>
            </w:pPr>
            <w:r w:rsidRPr="00450FB4">
              <w:rPr>
                <w:sz w:val="24"/>
                <w:szCs w:val="24"/>
              </w:rPr>
              <w:t>NPM_Pre</w:t>
            </w:r>
          </w:p>
        </w:tc>
        <w:tc>
          <w:tcPr>
            <w:tcW w:w="597" w:type="pct"/>
            <w:hideMark/>
          </w:tcPr>
          <w:p w14:paraId="411B3F84" w14:textId="77777777" w:rsidR="00A95558" w:rsidRPr="00450FB4" w:rsidRDefault="00D67080" w:rsidP="00240B98">
            <w:pPr>
              <w:spacing w:line="240" w:lineRule="auto"/>
              <w:jc w:val="center"/>
              <w:rPr>
                <w:sz w:val="24"/>
                <w:szCs w:val="24"/>
              </w:rPr>
            </w:pPr>
            <w:r w:rsidRPr="00450FB4">
              <w:rPr>
                <w:sz w:val="24"/>
                <w:szCs w:val="24"/>
              </w:rPr>
              <w:t>11.01</w:t>
            </w:r>
          </w:p>
        </w:tc>
        <w:tc>
          <w:tcPr>
            <w:tcW w:w="431" w:type="pct"/>
            <w:hideMark/>
          </w:tcPr>
          <w:p w14:paraId="4D6082C5" w14:textId="77777777" w:rsidR="00A95558" w:rsidRPr="00450FB4" w:rsidRDefault="00D67080" w:rsidP="00240B98">
            <w:pPr>
              <w:spacing w:line="240" w:lineRule="auto"/>
              <w:jc w:val="center"/>
              <w:rPr>
                <w:sz w:val="24"/>
                <w:szCs w:val="24"/>
              </w:rPr>
            </w:pPr>
            <w:r w:rsidRPr="00450FB4">
              <w:rPr>
                <w:sz w:val="24"/>
                <w:szCs w:val="24"/>
              </w:rPr>
              <w:t>343</w:t>
            </w:r>
          </w:p>
        </w:tc>
        <w:tc>
          <w:tcPr>
            <w:tcW w:w="1139" w:type="pct"/>
            <w:hideMark/>
          </w:tcPr>
          <w:p w14:paraId="0A8594EA" w14:textId="77777777" w:rsidR="00A95558" w:rsidRPr="00450FB4" w:rsidRDefault="00D67080" w:rsidP="00240B98">
            <w:pPr>
              <w:spacing w:line="240" w:lineRule="auto"/>
              <w:jc w:val="center"/>
              <w:rPr>
                <w:sz w:val="24"/>
                <w:szCs w:val="24"/>
              </w:rPr>
            </w:pPr>
            <w:r w:rsidRPr="00450FB4">
              <w:rPr>
                <w:sz w:val="24"/>
                <w:szCs w:val="24"/>
              </w:rPr>
              <w:t>14.36</w:t>
            </w:r>
          </w:p>
        </w:tc>
        <w:tc>
          <w:tcPr>
            <w:tcW w:w="1316" w:type="pct"/>
            <w:hideMark/>
          </w:tcPr>
          <w:p w14:paraId="41AE8436" w14:textId="77777777" w:rsidR="00A95558" w:rsidRPr="00450FB4" w:rsidRDefault="00D67080" w:rsidP="00240B98">
            <w:pPr>
              <w:spacing w:line="240" w:lineRule="auto"/>
              <w:jc w:val="center"/>
              <w:rPr>
                <w:sz w:val="24"/>
                <w:szCs w:val="24"/>
              </w:rPr>
            </w:pPr>
            <w:r w:rsidRPr="00450FB4">
              <w:rPr>
                <w:sz w:val="24"/>
                <w:szCs w:val="24"/>
              </w:rPr>
              <w:t>0.77</w:t>
            </w:r>
          </w:p>
        </w:tc>
      </w:tr>
      <w:tr w:rsidR="00161788" w:rsidRPr="00450FB4" w14:paraId="6D949AF3" w14:textId="77777777" w:rsidTr="000C7E69">
        <w:trPr>
          <w:trHeight w:val="264"/>
        </w:trPr>
        <w:tc>
          <w:tcPr>
            <w:tcW w:w="560" w:type="pct"/>
            <w:vMerge/>
          </w:tcPr>
          <w:p w14:paraId="7577AE76" w14:textId="77777777" w:rsidR="00A95558" w:rsidRPr="00450FB4" w:rsidRDefault="00A95558" w:rsidP="00240B98">
            <w:pPr>
              <w:spacing w:line="240" w:lineRule="auto"/>
              <w:rPr>
                <w:sz w:val="24"/>
                <w:szCs w:val="24"/>
              </w:rPr>
            </w:pPr>
          </w:p>
        </w:tc>
        <w:tc>
          <w:tcPr>
            <w:tcW w:w="957" w:type="pct"/>
            <w:hideMark/>
          </w:tcPr>
          <w:p w14:paraId="0B6CEA78" w14:textId="77777777" w:rsidR="00A95558" w:rsidRPr="00450FB4" w:rsidRDefault="00D67080" w:rsidP="00240B98">
            <w:pPr>
              <w:spacing w:line="240" w:lineRule="auto"/>
              <w:rPr>
                <w:sz w:val="24"/>
                <w:szCs w:val="24"/>
              </w:rPr>
            </w:pPr>
            <w:r w:rsidRPr="00450FB4">
              <w:rPr>
                <w:sz w:val="24"/>
                <w:szCs w:val="24"/>
              </w:rPr>
              <w:t>NPM_post</w:t>
            </w:r>
          </w:p>
        </w:tc>
        <w:tc>
          <w:tcPr>
            <w:tcW w:w="597" w:type="pct"/>
            <w:hideMark/>
          </w:tcPr>
          <w:p w14:paraId="6C6BABF9" w14:textId="77777777" w:rsidR="00A95558" w:rsidRPr="00450FB4" w:rsidRDefault="00D67080" w:rsidP="00240B98">
            <w:pPr>
              <w:spacing w:line="240" w:lineRule="auto"/>
              <w:jc w:val="center"/>
              <w:rPr>
                <w:sz w:val="24"/>
                <w:szCs w:val="24"/>
              </w:rPr>
            </w:pPr>
            <w:r w:rsidRPr="00450FB4">
              <w:rPr>
                <w:sz w:val="24"/>
                <w:szCs w:val="24"/>
              </w:rPr>
              <w:t>9.39</w:t>
            </w:r>
          </w:p>
        </w:tc>
        <w:tc>
          <w:tcPr>
            <w:tcW w:w="431" w:type="pct"/>
            <w:hideMark/>
          </w:tcPr>
          <w:p w14:paraId="79B15A00" w14:textId="77777777" w:rsidR="00A95558" w:rsidRPr="00450FB4" w:rsidRDefault="00D67080" w:rsidP="00240B98">
            <w:pPr>
              <w:spacing w:line="240" w:lineRule="auto"/>
              <w:jc w:val="center"/>
              <w:rPr>
                <w:sz w:val="24"/>
                <w:szCs w:val="24"/>
              </w:rPr>
            </w:pPr>
            <w:r w:rsidRPr="00450FB4">
              <w:rPr>
                <w:sz w:val="24"/>
                <w:szCs w:val="24"/>
              </w:rPr>
              <w:t>343</w:t>
            </w:r>
          </w:p>
        </w:tc>
        <w:tc>
          <w:tcPr>
            <w:tcW w:w="1139" w:type="pct"/>
            <w:hideMark/>
          </w:tcPr>
          <w:p w14:paraId="23D6BD98" w14:textId="77777777" w:rsidR="00A95558" w:rsidRPr="00450FB4" w:rsidRDefault="00D67080" w:rsidP="00240B98">
            <w:pPr>
              <w:spacing w:line="240" w:lineRule="auto"/>
              <w:jc w:val="center"/>
              <w:rPr>
                <w:sz w:val="24"/>
                <w:szCs w:val="24"/>
              </w:rPr>
            </w:pPr>
            <w:r w:rsidRPr="00450FB4">
              <w:rPr>
                <w:sz w:val="24"/>
                <w:szCs w:val="24"/>
              </w:rPr>
              <w:t>17.88</w:t>
            </w:r>
          </w:p>
        </w:tc>
        <w:tc>
          <w:tcPr>
            <w:tcW w:w="1316" w:type="pct"/>
            <w:hideMark/>
          </w:tcPr>
          <w:p w14:paraId="003432FC" w14:textId="77777777" w:rsidR="00A95558" w:rsidRPr="00450FB4" w:rsidRDefault="00D67080" w:rsidP="00240B98">
            <w:pPr>
              <w:spacing w:line="240" w:lineRule="auto"/>
              <w:jc w:val="center"/>
              <w:rPr>
                <w:sz w:val="24"/>
                <w:szCs w:val="24"/>
              </w:rPr>
            </w:pPr>
            <w:r w:rsidRPr="00450FB4">
              <w:rPr>
                <w:sz w:val="24"/>
                <w:szCs w:val="24"/>
              </w:rPr>
              <w:t>0.96</w:t>
            </w:r>
          </w:p>
        </w:tc>
      </w:tr>
      <w:tr w:rsidR="00161788" w:rsidRPr="00450FB4" w14:paraId="0CE21EB8" w14:textId="77777777" w:rsidTr="000C7E69">
        <w:trPr>
          <w:trHeight w:val="269"/>
        </w:trPr>
        <w:tc>
          <w:tcPr>
            <w:tcW w:w="560" w:type="pct"/>
            <w:vMerge w:val="restart"/>
          </w:tcPr>
          <w:p w14:paraId="79095F53" w14:textId="77777777" w:rsidR="00A95558" w:rsidRPr="00450FB4" w:rsidRDefault="00D67080" w:rsidP="00240B98">
            <w:pPr>
              <w:spacing w:line="240" w:lineRule="auto"/>
              <w:rPr>
                <w:sz w:val="24"/>
                <w:szCs w:val="24"/>
              </w:rPr>
            </w:pPr>
            <w:r w:rsidRPr="00450FB4">
              <w:rPr>
                <w:b/>
                <w:bCs/>
                <w:sz w:val="24"/>
                <w:szCs w:val="24"/>
              </w:rPr>
              <w:t>Pair 3</w:t>
            </w:r>
          </w:p>
        </w:tc>
        <w:tc>
          <w:tcPr>
            <w:tcW w:w="957" w:type="pct"/>
            <w:hideMark/>
          </w:tcPr>
          <w:p w14:paraId="779AF5E6" w14:textId="77777777" w:rsidR="00A95558" w:rsidRPr="00450FB4" w:rsidRDefault="00D67080" w:rsidP="00240B98">
            <w:pPr>
              <w:spacing w:line="240" w:lineRule="auto"/>
              <w:rPr>
                <w:sz w:val="24"/>
                <w:szCs w:val="24"/>
              </w:rPr>
            </w:pPr>
            <w:r w:rsidRPr="00450FB4">
              <w:rPr>
                <w:sz w:val="24"/>
                <w:szCs w:val="24"/>
              </w:rPr>
              <w:t>ASP_Pre</w:t>
            </w:r>
          </w:p>
        </w:tc>
        <w:tc>
          <w:tcPr>
            <w:tcW w:w="597" w:type="pct"/>
            <w:hideMark/>
          </w:tcPr>
          <w:p w14:paraId="0ED87769" w14:textId="77777777" w:rsidR="00A95558" w:rsidRPr="00450FB4" w:rsidRDefault="00D67080" w:rsidP="00240B98">
            <w:pPr>
              <w:spacing w:line="240" w:lineRule="auto"/>
              <w:jc w:val="center"/>
              <w:rPr>
                <w:sz w:val="24"/>
                <w:szCs w:val="24"/>
              </w:rPr>
            </w:pPr>
            <w:r w:rsidRPr="00450FB4">
              <w:rPr>
                <w:sz w:val="24"/>
                <w:szCs w:val="24"/>
              </w:rPr>
              <w:t>346.87</w:t>
            </w:r>
          </w:p>
        </w:tc>
        <w:tc>
          <w:tcPr>
            <w:tcW w:w="431" w:type="pct"/>
            <w:hideMark/>
          </w:tcPr>
          <w:p w14:paraId="2169BE8E" w14:textId="77777777" w:rsidR="00A95558" w:rsidRPr="00450FB4" w:rsidRDefault="00D67080" w:rsidP="00240B98">
            <w:pPr>
              <w:spacing w:line="240" w:lineRule="auto"/>
              <w:jc w:val="center"/>
              <w:rPr>
                <w:sz w:val="24"/>
                <w:szCs w:val="24"/>
              </w:rPr>
            </w:pPr>
            <w:r w:rsidRPr="00450FB4">
              <w:rPr>
                <w:sz w:val="24"/>
                <w:szCs w:val="24"/>
              </w:rPr>
              <w:t>396</w:t>
            </w:r>
          </w:p>
        </w:tc>
        <w:tc>
          <w:tcPr>
            <w:tcW w:w="1139" w:type="pct"/>
            <w:hideMark/>
          </w:tcPr>
          <w:p w14:paraId="70C00508" w14:textId="77777777" w:rsidR="00A95558" w:rsidRPr="00450FB4" w:rsidRDefault="00D67080" w:rsidP="00240B98">
            <w:pPr>
              <w:spacing w:line="240" w:lineRule="auto"/>
              <w:jc w:val="center"/>
              <w:rPr>
                <w:sz w:val="24"/>
                <w:szCs w:val="24"/>
              </w:rPr>
            </w:pPr>
            <w:r w:rsidRPr="00450FB4">
              <w:rPr>
                <w:sz w:val="24"/>
                <w:szCs w:val="24"/>
              </w:rPr>
              <w:t>428.88</w:t>
            </w:r>
          </w:p>
        </w:tc>
        <w:tc>
          <w:tcPr>
            <w:tcW w:w="1316" w:type="pct"/>
            <w:hideMark/>
          </w:tcPr>
          <w:p w14:paraId="118DEDA2" w14:textId="77777777" w:rsidR="00A95558" w:rsidRPr="00450FB4" w:rsidRDefault="00D67080" w:rsidP="00240B98">
            <w:pPr>
              <w:spacing w:line="240" w:lineRule="auto"/>
              <w:jc w:val="center"/>
              <w:rPr>
                <w:sz w:val="24"/>
                <w:szCs w:val="24"/>
              </w:rPr>
            </w:pPr>
            <w:r w:rsidRPr="00450FB4">
              <w:rPr>
                <w:sz w:val="24"/>
                <w:szCs w:val="24"/>
              </w:rPr>
              <w:t>21.55</w:t>
            </w:r>
          </w:p>
        </w:tc>
      </w:tr>
      <w:tr w:rsidR="00161788" w:rsidRPr="00450FB4" w14:paraId="5BC71B59" w14:textId="77777777" w:rsidTr="000C7E69">
        <w:trPr>
          <w:trHeight w:val="264"/>
        </w:trPr>
        <w:tc>
          <w:tcPr>
            <w:tcW w:w="560" w:type="pct"/>
            <w:vMerge/>
          </w:tcPr>
          <w:p w14:paraId="59C13B87" w14:textId="77777777" w:rsidR="00A95558" w:rsidRPr="00450FB4" w:rsidRDefault="00A95558" w:rsidP="00240B98">
            <w:pPr>
              <w:spacing w:line="240" w:lineRule="auto"/>
              <w:rPr>
                <w:sz w:val="24"/>
                <w:szCs w:val="24"/>
              </w:rPr>
            </w:pPr>
          </w:p>
        </w:tc>
        <w:tc>
          <w:tcPr>
            <w:tcW w:w="957" w:type="pct"/>
            <w:hideMark/>
          </w:tcPr>
          <w:p w14:paraId="65159D35" w14:textId="77777777" w:rsidR="00A95558" w:rsidRPr="00450FB4" w:rsidRDefault="00D67080" w:rsidP="00240B98">
            <w:pPr>
              <w:spacing w:line="240" w:lineRule="auto"/>
              <w:rPr>
                <w:sz w:val="24"/>
                <w:szCs w:val="24"/>
              </w:rPr>
            </w:pPr>
            <w:r w:rsidRPr="00450FB4">
              <w:rPr>
                <w:sz w:val="24"/>
                <w:szCs w:val="24"/>
              </w:rPr>
              <w:t>ASP_post</w:t>
            </w:r>
          </w:p>
        </w:tc>
        <w:tc>
          <w:tcPr>
            <w:tcW w:w="597" w:type="pct"/>
            <w:hideMark/>
          </w:tcPr>
          <w:p w14:paraId="093CDB11" w14:textId="77777777" w:rsidR="00A95558" w:rsidRPr="00450FB4" w:rsidRDefault="00D67080" w:rsidP="00240B98">
            <w:pPr>
              <w:spacing w:line="240" w:lineRule="auto"/>
              <w:jc w:val="center"/>
              <w:rPr>
                <w:sz w:val="24"/>
                <w:szCs w:val="24"/>
              </w:rPr>
            </w:pPr>
            <w:r w:rsidRPr="00450FB4">
              <w:rPr>
                <w:sz w:val="24"/>
                <w:szCs w:val="24"/>
              </w:rPr>
              <w:t>652.69</w:t>
            </w:r>
          </w:p>
        </w:tc>
        <w:tc>
          <w:tcPr>
            <w:tcW w:w="431" w:type="pct"/>
            <w:hideMark/>
          </w:tcPr>
          <w:p w14:paraId="7EACC25C" w14:textId="77777777" w:rsidR="00A95558" w:rsidRPr="00450FB4" w:rsidRDefault="00D67080" w:rsidP="00240B98">
            <w:pPr>
              <w:spacing w:line="240" w:lineRule="auto"/>
              <w:jc w:val="center"/>
              <w:rPr>
                <w:sz w:val="24"/>
                <w:szCs w:val="24"/>
              </w:rPr>
            </w:pPr>
            <w:r w:rsidRPr="00450FB4">
              <w:rPr>
                <w:sz w:val="24"/>
                <w:szCs w:val="24"/>
              </w:rPr>
              <w:t>396</w:t>
            </w:r>
          </w:p>
        </w:tc>
        <w:tc>
          <w:tcPr>
            <w:tcW w:w="1139" w:type="pct"/>
            <w:hideMark/>
          </w:tcPr>
          <w:p w14:paraId="44A9438D" w14:textId="77777777" w:rsidR="00A95558" w:rsidRPr="00450FB4" w:rsidRDefault="00D67080" w:rsidP="00240B98">
            <w:pPr>
              <w:spacing w:line="240" w:lineRule="auto"/>
              <w:jc w:val="center"/>
              <w:rPr>
                <w:sz w:val="24"/>
                <w:szCs w:val="24"/>
              </w:rPr>
            </w:pPr>
            <w:r w:rsidRPr="00450FB4">
              <w:rPr>
                <w:sz w:val="24"/>
                <w:szCs w:val="24"/>
              </w:rPr>
              <w:t>913.00</w:t>
            </w:r>
          </w:p>
        </w:tc>
        <w:tc>
          <w:tcPr>
            <w:tcW w:w="1316" w:type="pct"/>
            <w:hideMark/>
          </w:tcPr>
          <w:p w14:paraId="2C914314" w14:textId="77777777" w:rsidR="00A95558" w:rsidRPr="00450FB4" w:rsidRDefault="00D67080" w:rsidP="00240B98">
            <w:pPr>
              <w:spacing w:line="240" w:lineRule="auto"/>
              <w:jc w:val="center"/>
              <w:rPr>
                <w:sz w:val="24"/>
                <w:szCs w:val="24"/>
              </w:rPr>
            </w:pPr>
            <w:r w:rsidRPr="00450FB4">
              <w:rPr>
                <w:sz w:val="24"/>
                <w:szCs w:val="24"/>
              </w:rPr>
              <w:t>45.88</w:t>
            </w:r>
          </w:p>
        </w:tc>
      </w:tr>
      <w:tr w:rsidR="00161788" w:rsidRPr="00450FB4" w14:paraId="3BEB7002" w14:textId="77777777" w:rsidTr="000C7E69">
        <w:trPr>
          <w:trHeight w:val="269"/>
        </w:trPr>
        <w:tc>
          <w:tcPr>
            <w:tcW w:w="560" w:type="pct"/>
            <w:vMerge w:val="restart"/>
          </w:tcPr>
          <w:p w14:paraId="0071114F" w14:textId="77777777" w:rsidR="00A95558" w:rsidRPr="00450FB4" w:rsidRDefault="00D67080" w:rsidP="00240B98">
            <w:pPr>
              <w:spacing w:line="240" w:lineRule="auto"/>
              <w:rPr>
                <w:sz w:val="24"/>
                <w:szCs w:val="24"/>
              </w:rPr>
            </w:pPr>
            <w:r w:rsidRPr="00450FB4">
              <w:rPr>
                <w:b/>
                <w:bCs/>
                <w:sz w:val="24"/>
                <w:szCs w:val="24"/>
              </w:rPr>
              <w:t>Pair 4</w:t>
            </w:r>
          </w:p>
        </w:tc>
        <w:tc>
          <w:tcPr>
            <w:tcW w:w="957" w:type="pct"/>
            <w:hideMark/>
          </w:tcPr>
          <w:p w14:paraId="0CB1AD5D" w14:textId="77777777" w:rsidR="00A95558" w:rsidRPr="00450FB4" w:rsidRDefault="00D67080" w:rsidP="00240B98">
            <w:pPr>
              <w:spacing w:line="240" w:lineRule="auto"/>
              <w:rPr>
                <w:sz w:val="24"/>
                <w:szCs w:val="24"/>
              </w:rPr>
            </w:pPr>
            <w:r w:rsidRPr="00450FB4">
              <w:rPr>
                <w:sz w:val="24"/>
                <w:szCs w:val="24"/>
              </w:rPr>
              <w:t>CR_Pre</w:t>
            </w:r>
          </w:p>
        </w:tc>
        <w:tc>
          <w:tcPr>
            <w:tcW w:w="597" w:type="pct"/>
            <w:hideMark/>
          </w:tcPr>
          <w:p w14:paraId="17547BF7" w14:textId="77777777" w:rsidR="00A95558" w:rsidRPr="00450FB4" w:rsidRDefault="00D67080" w:rsidP="00240B98">
            <w:pPr>
              <w:spacing w:line="240" w:lineRule="auto"/>
              <w:jc w:val="center"/>
              <w:rPr>
                <w:sz w:val="24"/>
                <w:szCs w:val="24"/>
              </w:rPr>
            </w:pPr>
            <w:r w:rsidRPr="00450FB4">
              <w:rPr>
                <w:sz w:val="24"/>
                <w:szCs w:val="24"/>
              </w:rPr>
              <w:t>2.18</w:t>
            </w:r>
          </w:p>
        </w:tc>
        <w:tc>
          <w:tcPr>
            <w:tcW w:w="431" w:type="pct"/>
            <w:hideMark/>
          </w:tcPr>
          <w:p w14:paraId="1F247408" w14:textId="77777777" w:rsidR="00A95558" w:rsidRPr="00450FB4" w:rsidRDefault="00D67080" w:rsidP="00240B98">
            <w:pPr>
              <w:spacing w:line="240" w:lineRule="auto"/>
              <w:jc w:val="center"/>
              <w:rPr>
                <w:sz w:val="24"/>
                <w:szCs w:val="24"/>
              </w:rPr>
            </w:pPr>
            <w:r w:rsidRPr="00450FB4">
              <w:rPr>
                <w:sz w:val="24"/>
                <w:szCs w:val="24"/>
              </w:rPr>
              <w:t>214</w:t>
            </w:r>
          </w:p>
        </w:tc>
        <w:tc>
          <w:tcPr>
            <w:tcW w:w="1139" w:type="pct"/>
            <w:hideMark/>
          </w:tcPr>
          <w:p w14:paraId="54842910" w14:textId="77777777" w:rsidR="00A95558" w:rsidRPr="00450FB4" w:rsidRDefault="00D67080" w:rsidP="00240B98">
            <w:pPr>
              <w:spacing w:line="240" w:lineRule="auto"/>
              <w:jc w:val="center"/>
              <w:rPr>
                <w:sz w:val="24"/>
                <w:szCs w:val="24"/>
              </w:rPr>
            </w:pPr>
            <w:r w:rsidRPr="00450FB4">
              <w:rPr>
                <w:sz w:val="24"/>
                <w:szCs w:val="24"/>
              </w:rPr>
              <w:t>1.658</w:t>
            </w:r>
          </w:p>
        </w:tc>
        <w:tc>
          <w:tcPr>
            <w:tcW w:w="1316" w:type="pct"/>
            <w:hideMark/>
          </w:tcPr>
          <w:p w14:paraId="6D283E50" w14:textId="77777777" w:rsidR="00A95558" w:rsidRPr="00450FB4" w:rsidRDefault="00D67080" w:rsidP="00240B98">
            <w:pPr>
              <w:spacing w:line="240" w:lineRule="auto"/>
              <w:jc w:val="center"/>
              <w:rPr>
                <w:sz w:val="24"/>
                <w:szCs w:val="24"/>
              </w:rPr>
            </w:pPr>
            <w:r w:rsidRPr="00450FB4">
              <w:rPr>
                <w:sz w:val="24"/>
                <w:szCs w:val="24"/>
              </w:rPr>
              <w:t>0.11</w:t>
            </w:r>
          </w:p>
        </w:tc>
      </w:tr>
      <w:tr w:rsidR="00161788" w:rsidRPr="00450FB4" w14:paraId="1330D50F" w14:textId="77777777" w:rsidTr="000C7E69">
        <w:trPr>
          <w:trHeight w:val="264"/>
        </w:trPr>
        <w:tc>
          <w:tcPr>
            <w:tcW w:w="560" w:type="pct"/>
            <w:vMerge/>
          </w:tcPr>
          <w:p w14:paraId="5234DAC3" w14:textId="77777777" w:rsidR="00A95558" w:rsidRPr="00450FB4" w:rsidRDefault="00A95558" w:rsidP="00240B98">
            <w:pPr>
              <w:spacing w:line="240" w:lineRule="auto"/>
              <w:rPr>
                <w:sz w:val="24"/>
                <w:szCs w:val="24"/>
              </w:rPr>
            </w:pPr>
          </w:p>
        </w:tc>
        <w:tc>
          <w:tcPr>
            <w:tcW w:w="957" w:type="pct"/>
            <w:hideMark/>
          </w:tcPr>
          <w:p w14:paraId="50B9431B" w14:textId="77777777" w:rsidR="00A95558" w:rsidRPr="00450FB4" w:rsidRDefault="00D67080" w:rsidP="00240B98">
            <w:pPr>
              <w:spacing w:line="240" w:lineRule="auto"/>
              <w:rPr>
                <w:sz w:val="24"/>
                <w:szCs w:val="24"/>
              </w:rPr>
            </w:pPr>
            <w:r w:rsidRPr="00450FB4">
              <w:rPr>
                <w:sz w:val="24"/>
                <w:szCs w:val="24"/>
              </w:rPr>
              <w:t>CR_post</w:t>
            </w:r>
          </w:p>
        </w:tc>
        <w:tc>
          <w:tcPr>
            <w:tcW w:w="597" w:type="pct"/>
            <w:hideMark/>
          </w:tcPr>
          <w:p w14:paraId="6E503B99" w14:textId="77777777" w:rsidR="00A95558" w:rsidRPr="00450FB4" w:rsidRDefault="00D67080" w:rsidP="00240B98">
            <w:pPr>
              <w:spacing w:line="240" w:lineRule="auto"/>
              <w:jc w:val="center"/>
              <w:rPr>
                <w:sz w:val="24"/>
                <w:szCs w:val="24"/>
              </w:rPr>
            </w:pPr>
            <w:r w:rsidRPr="00450FB4">
              <w:rPr>
                <w:sz w:val="24"/>
                <w:szCs w:val="24"/>
              </w:rPr>
              <w:t>2.20</w:t>
            </w:r>
          </w:p>
        </w:tc>
        <w:tc>
          <w:tcPr>
            <w:tcW w:w="431" w:type="pct"/>
            <w:hideMark/>
          </w:tcPr>
          <w:p w14:paraId="170B3FCA" w14:textId="77777777" w:rsidR="00A95558" w:rsidRPr="00450FB4" w:rsidRDefault="00D67080" w:rsidP="00240B98">
            <w:pPr>
              <w:spacing w:line="240" w:lineRule="auto"/>
              <w:jc w:val="center"/>
              <w:rPr>
                <w:sz w:val="24"/>
                <w:szCs w:val="24"/>
              </w:rPr>
            </w:pPr>
            <w:r w:rsidRPr="00450FB4">
              <w:rPr>
                <w:sz w:val="24"/>
                <w:szCs w:val="24"/>
              </w:rPr>
              <w:t>214</w:t>
            </w:r>
          </w:p>
        </w:tc>
        <w:tc>
          <w:tcPr>
            <w:tcW w:w="1139" w:type="pct"/>
            <w:hideMark/>
          </w:tcPr>
          <w:p w14:paraId="259AEEBE" w14:textId="77777777" w:rsidR="00A95558" w:rsidRPr="00450FB4" w:rsidRDefault="00D67080" w:rsidP="00240B98">
            <w:pPr>
              <w:spacing w:line="240" w:lineRule="auto"/>
              <w:jc w:val="center"/>
              <w:rPr>
                <w:sz w:val="24"/>
                <w:szCs w:val="24"/>
              </w:rPr>
            </w:pPr>
            <w:r w:rsidRPr="00450FB4">
              <w:rPr>
                <w:sz w:val="24"/>
                <w:szCs w:val="24"/>
              </w:rPr>
              <w:t>2.45</w:t>
            </w:r>
          </w:p>
        </w:tc>
        <w:tc>
          <w:tcPr>
            <w:tcW w:w="1316" w:type="pct"/>
            <w:hideMark/>
          </w:tcPr>
          <w:p w14:paraId="43C5B801" w14:textId="77777777" w:rsidR="00A95558" w:rsidRPr="00450FB4" w:rsidRDefault="00D67080" w:rsidP="00240B98">
            <w:pPr>
              <w:spacing w:line="240" w:lineRule="auto"/>
              <w:jc w:val="center"/>
              <w:rPr>
                <w:sz w:val="24"/>
                <w:szCs w:val="24"/>
              </w:rPr>
            </w:pPr>
            <w:r w:rsidRPr="00450FB4">
              <w:rPr>
                <w:sz w:val="24"/>
                <w:szCs w:val="24"/>
              </w:rPr>
              <w:t>0.16</w:t>
            </w:r>
          </w:p>
        </w:tc>
      </w:tr>
      <w:tr w:rsidR="00161788" w:rsidRPr="00450FB4" w14:paraId="0B5E00CC" w14:textId="77777777" w:rsidTr="000C7E69">
        <w:trPr>
          <w:trHeight w:val="269"/>
        </w:trPr>
        <w:tc>
          <w:tcPr>
            <w:tcW w:w="560" w:type="pct"/>
            <w:vMerge w:val="restart"/>
          </w:tcPr>
          <w:p w14:paraId="536A59FE" w14:textId="77777777" w:rsidR="00A95558" w:rsidRPr="00450FB4" w:rsidRDefault="00D67080" w:rsidP="00240B98">
            <w:pPr>
              <w:spacing w:line="240" w:lineRule="auto"/>
              <w:rPr>
                <w:sz w:val="24"/>
                <w:szCs w:val="24"/>
              </w:rPr>
            </w:pPr>
            <w:r w:rsidRPr="00450FB4">
              <w:rPr>
                <w:b/>
                <w:bCs/>
                <w:sz w:val="24"/>
                <w:szCs w:val="24"/>
              </w:rPr>
              <w:t>Pair 5</w:t>
            </w:r>
          </w:p>
        </w:tc>
        <w:tc>
          <w:tcPr>
            <w:tcW w:w="957" w:type="pct"/>
            <w:hideMark/>
          </w:tcPr>
          <w:p w14:paraId="320B524C" w14:textId="77777777" w:rsidR="00A95558" w:rsidRPr="00450FB4" w:rsidRDefault="00D67080" w:rsidP="00240B98">
            <w:pPr>
              <w:spacing w:line="240" w:lineRule="auto"/>
              <w:rPr>
                <w:sz w:val="24"/>
                <w:szCs w:val="24"/>
              </w:rPr>
            </w:pPr>
            <w:r w:rsidRPr="00450FB4">
              <w:rPr>
                <w:sz w:val="24"/>
                <w:szCs w:val="24"/>
              </w:rPr>
              <w:t>FL_Pre</w:t>
            </w:r>
          </w:p>
        </w:tc>
        <w:tc>
          <w:tcPr>
            <w:tcW w:w="597" w:type="pct"/>
            <w:hideMark/>
          </w:tcPr>
          <w:p w14:paraId="7760EC19" w14:textId="77777777" w:rsidR="00A95558" w:rsidRPr="00450FB4" w:rsidRDefault="00D67080" w:rsidP="00240B98">
            <w:pPr>
              <w:spacing w:line="240" w:lineRule="auto"/>
              <w:jc w:val="center"/>
              <w:rPr>
                <w:sz w:val="24"/>
                <w:szCs w:val="24"/>
              </w:rPr>
            </w:pPr>
            <w:r w:rsidRPr="00450FB4">
              <w:rPr>
                <w:sz w:val="24"/>
                <w:szCs w:val="24"/>
              </w:rPr>
              <w:t>134.42</w:t>
            </w:r>
          </w:p>
        </w:tc>
        <w:tc>
          <w:tcPr>
            <w:tcW w:w="431" w:type="pct"/>
            <w:hideMark/>
          </w:tcPr>
          <w:p w14:paraId="5C4E67A7" w14:textId="77777777" w:rsidR="00A95558" w:rsidRPr="00450FB4" w:rsidRDefault="00D67080" w:rsidP="00240B98">
            <w:pPr>
              <w:spacing w:line="240" w:lineRule="auto"/>
              <w:jc w:val="center"/>
              <w:rPr>
                <w:sz w:val="24"/>
                <w:szCs w:val="24"/>
              </w:rPr>
            </w:pPr>
            <w:r w:rsidRPr="00450FB4">
              <w:rPr>
                <w:sz w:val="24"/>
                <w:szCs w:val="24"/>
              </w:rPr>
              <w:t>355</w:t>
            </w:r>
          </w:p>
        </w:tc>
        <w:tc>
          <w:tcPr>
            <w:tcW w:w="1139" w:type="pct"/>
            <w:hideMark/>
          </w:tcPr>
          <w:p w14:paraId="46EB5326" w14:textId="77777777" w:rsidR="00A95558" w:rsidRPr="00450FB4" w:rsidRDefault="00D67080" w:rsidP="00240B98">
            <w:pPr>
              <w:spacing w:line="240" w:lineRule="auto"/>
              <w:jc w:val="center"/>
              <w:rPr>
                <w:sz w:val="24"/>
                <w:szCs w:val="24"/>
              </w:rPr>
            </w:pPr>
            <w:r w:rsidRPr="00450FB4">
              <w:rPr>
                <w:sz w:val="24"/>
                <w:szCs w:val="24"/>
              </w:rPr>
              <w:t>171.68</w:t>
            </w:r>
          </w:p>
        </w:tc>
        <w:tc>
          <w:tcPr>
            <w:tcW w:w="1316" w:type="pct"/>
            <w:hideMark/>
          </w:tcPr>
          <w:p w14:paraId="4CE1BEB5" w14:textId="77777777" w:rsidR="00A95558" w:rsidRPr="00450FB4" w:rsidRDefault="00D67080" w:rsidP="00240B98">
            <w:pPr>
              <w:spacing w:line="240" w:lineRule="auto"/>
              <w:jc w:val="center"/>
              <w:rPr>
                <w:sz w:val="24"/>
                <w:szCs w:val="24"/>
              </w:rPr>
            </w:pPr>
            <w:r w:rsidRPr="00450FB4">
              <w:rPr>
                <w:sz w:val="24"/>
                <w:szCs w:val="24"/>
              </w:rPr>
              <w:t>9.11</w:t>
            </w:r>
          </w:p>
        </w:tc>
      </w:tr>
      <w:tr w:rsidR="00161788" w:rsidRPr="00450FB4" w14:paraId="0DC7458A" w14:textId="77777777" w:rsidTr="000C7E69">
        <w:trPr>
          <w:trHeight w:val="264"/>
        </w:trPr>
        <w:tc>
          <w:tcPr>
            <w:tcW w:w="560" w:type="pct"/>
            <w:vMerge/>
          </w:tcPr>
          <w:p w14:paraId="305139D3" w14:textId="77777777" w:rsidR="00A95558" w:rsidRPr="00450FB4" w:rsidRDefault="00A95558" w:rsidP="00240B98">
            <w:pPr>
              <w:spacing w:line="240" w:lineRule="auto"/>
              <w:rPr>
                <w:sz w:val="24"/>
                <w:szCs w:val="24"/>
              </w:rPr>
            </w:pPr>
          </w:p>
        </w:tc>
        <w:tc>
          <w:tcPr>
            <w:tcW w:w="957" w:type="pct"/>
            <w:hideMark/>
          </w:tcPr>
          <w:p w14:paraId="37241178" w14:textId="77777777" w:rsidR="00A95558" w:rsidRPr="00450FB4" w:rsidRDefault="00D67080" w:rsidP="00240B98">
            <w:pPr>
              <w:spacing w:line="240" w:lineRule="auto"/>
              <w:rPr>
                <w:sz w:val="24"/>
                <w:szCs w:val="24"/>
              </w:rPr>
            </w:pPr>
            <w:r w:rsidRPr="00450FB4">
              <w:rPr>
                <w:sz w:val="24"/>
                <w:szCs w:val="24"/>
              </w:rPr>
              <w:t>FL_post</w:t>
            </w:r>
          </w:p>
        </w:tc>
        <w:tc>
          <w:tcPr>
            <w:tcW w:w="597" w:type="pct"/>
            <w:hideMark/>
          </w:tcPr>
          <w:p w14:paraId="7DBEFCCF" w14:textId="77777777" w:rsidR="00A95558" w:rsidRPr="00450FB4" w:rsidRDefault="00D67080" w:rsidP="00240B98">
            <w:pPr>
              <w:spacing w:line="240" w:lineRule="auto"/>
              <w:jc w:val="center"/>
              <w:rPr>
                <w:sz w:val="24"/>
                <w:szCs w:val="24"/>
              </w:rPr>
            </w:pPr>
            <w:r w:rsidRPr="00450FB4">
              <w:rPr>
                <w:sz w:val="24"/>
                <w:szCs w:val="24"/>
              </w:rPr>
              <w:t>129.62</w:t>
            </w:r>
          </w:p>
        </w:tc>
        <w:tc>
          <w:tcPr>
            <w:tcW w:w="431" w:type="pct"/>
            <w:hideMark/>
          </w:tcPr>
          <w:p w14:paraId="22F597B3" w14:textId="77777777" w:rsidR="00A95558" w:rsidRPr="00450FB4" w:rsidRDefault="00D67080" w:rsidP="00240B98">
            <w:pPr>
              <w:spacing w:line="240" w:lineRule="auto"/>
              <w:jc w:val="center"/>
              <w:rPr>
                <w:sz w:val="24"/>
                <w:szCs w:val="24"/>
              </w:rPr>
            </w:pPr>
            <w:r w:rsidRPr="00450FB4">
              <w:rPr>
                <w:sz w:val="24"/>
                <w:szCs w:val="24"/>
              </w:rPr>
              <w:t>355</w:t>
            </w:r>
          </w:p>
        </w:tc>
        <w:tc>
          <w:tcPr>
            <w:tcW w:w="1139" w:type="pct"/>
            <w:hideMark/>
          </w:tcPr>
          <w:p w14:paraId="42C9634D" w14:textId="77777777" w:rsidR="00A95558" w:rsidRPr="00450FB4" w:rsidRDefault="00D67080" w:rsidP="00240B98">
            <w:pPr>
              <w:spacing w:line="240" w:lineRule="auto"/>
              <w:jc w:val="center"/>
              <w:rPr>
                <w:sz w:val="24"/>
                <w:szCs w:val="24"/>
              </w:rPr>
            </w:pPr>
            <w:r w:rsidRPr="00450FB4">
              <w:rPr>
                <w:sz w:val="24"/>
                <w:szCs w:val="24"/>
              </w:rPr>
              <w:t>162.36</w:t>
            </w:r>
          </w:p>
        </w:tc>
        <w:tc>
          <w:tcPr>
            <w:tcW w:w="1316" w:type="pct"/>
            <w:hideMark/>
          </w:tcPr>
          <w:p w14:paraId="42F3606E" w14:textId="77777777" w:rsidR="00A95558" w:rsidRPr="00450FB4" w:rsidRDefault="00D67080" w:rsidP="00240B98">
            <w:pPr>
              <w:spacing w:line="240" w:lineRule="auto"/>
              <w:jc w:val="center"/>
              <w:rPr>
                <w:sz w:val="24"/>
                <w:szCs w:val="24"/>
              </w:rPr>
            </w:pPr>
            <w:r w:rsidRPr="00450FB4">
              <w:rPr>
                <w:sz w:val="24"/>
                <w:szCs w:val="24"/>
              </w:rPr>
              <w:t>8.61</w:t>
            </w:r>
          </w:p>
        </w:tc>
      </w:tr>
      <w:tr w:rsidR="00161788" w:rsidRPr="00450FB4" w14:paraId="433DB426" w14:textId="77777777" w:rsidTr="000C7E69">
        <w:trPr>
          <w:trHeight w:val="269"/>
        </w:trPr>
        <w:tc>
          <w:tcPr>
            <w:tcW w:w="560" w:type="pct"/>
            <w:vMerge w:val="restart"/>
          </w:tcPr>
          <w:p w14:paraId="30C36FFD" w14:textId="77777777" w:rsidR="00A95558" w:rsidRPr="00450FB4" w:rsidRDefault="00D67080" w:rsidP="00240B98">
            <w:pPr>
              <w:spacing w:line="240" w:lineRule="auto"/>
              <w:rPr>
                <w:sz w:val="24"/>
                <w:szCs w:val="24"/>
              </w:rPr>
            </w:pPr>
            <w:r w:rsidRPr="00450FB4">
              <w:rPr>
                <w:b/>
                <w:bCs/>
                <w:sz w:val="24"/>
                <w:szCs w:val="24"/>
              </w:rPr>
              <w:t>Pair 6</w:t>
            </w:r>
          </w:p>
        </w:tc>
        <w:tc>
          <w:tcPr>
            <w:tcW w:w="957" w:type="pct"/>
            <w:hideMark/>
          </w:tcPr>
          <w:p w14:paraId="54AC00DF" w14:textId="77777777" w:rsidR="00A95558" w:rsidRPr="00450FB4" w:rsidRDefault="00D67080" w:rsidP="00240B98">
            <w:pPr>
              <w:spacing w:line="240" w:lineRule="auto"/>
              <w:rPr>
                <w:sz w:val="24"/>
                <w:szCs w:val="24"/>
              </w:rPr>
            </w:pPr>
            <w:r w:rsidRPr="00450FB4">
              <w:rPr>
                <w:sz w:val="24"/>
                <w:szCs w:val="24"/>
              </w:rPr>
              <w:t>L_AS_Pre</w:t>
            </w:r>
          </w:p>
        </w:tc>
        <w:tc>
          <w:tcPr>
            <w:tcW w:w="597" w:type="pct"/>
            <w:hideMark/>
          </w:tcPr>
          <w:p w14:paraId="65AA3B2F" w14:textId="77777777" w:rsidR="00A95558" w:rsidRPr="00450FB4" w:rsidRDefault="00D67080" w:rsidP="00240B98">
            <w:pPr>
              <w:spacing w:line="240" w:lineRule="auto"/>
              <w:jc w:val="center"/>
              <w:rPr>
                <w:sz w:val="24"/>
                <w:szCs w:val="24"/>
              </w:rPr>
            </w:pPr>
            <w:r w:rsidRPr="00450FB4">
              <w:rPr>
                <w:sz w:val="24"/>
                <w:szCs w:val="24"/>
              </w:rPr>
              <w:t>11.62</w:t>
            </w:r>
          </w:p>
        </w:tc>
        <w:tc>
          <w:tcPr>
            <w:tcW w:w="431" w:type="pct"/>
            <w:hideMark/>
          </w:tcPr>
          <w:p w14:paraId="4EAD618D" w14:textId="77777777" w:rsidR="00A95558" w:rsidRPr="00450FB4" w:rsidRDefault="00D67080" w:rsidP="00240B98">
            <w:pPr>
              <w:spacing w:line="240" w:lineRule="auto"/>
              <w:jc w:val="center"/>
              <w:rPr>
                <w:sz w:val="24"/>
                <w:szCs w:val="24"/>
              </w:rPr>
            </w:pPr>
            <w:r w:rsidRPr="00450FB4">
              <w:rPr>
                <w:sz w:val="24"/>
                <w:szCs w:val="24"/>
              </w:rPr>
              <w:t>374</w:t>
            </w:r>
          </w:p>
        </w:tc>
        <w:tc>
          <w:tcPr>
            <w:tcW w:w="1139" w:type="pct"/>
            <w:hideMark/>
          </w:tcPr>
          <w:p w14:paraId="6C843224" w14:textId="77777777" w:rsidR="00A95558" w:rsidRPr="00450FB4" w:rsidRDefault="00D67080" w:rsidP="00240B98">
            <w:pPr>
              <w:spacing w:line="240" w:lineRule="auto"/>
              <w:jc w:val="center"/>
              <w:rPr>
                <w:sz w:val="24"/>
                <w:szCs w:val="24"/>
              </w:rPr>
            </w:pPr>
            <w:r w:rsidRPr="00450FB4">
              <w:rPr>
                <w:sz w:val="24"/>
                <w:szCs w:val="24"/>
              </w:rPr>
              <w:t>2.56</w:t>
            </w:r>
          </w:p>
        </w:tc>
        <w:tc>
          <w:tcPr>
            <w:tcW w:w="1316" w:type="pct"/>
            <w:hideMark/>
          </w:tcPr>
          <w:p w14:paraId="268479B4" w14:textId="77777777" w:rsidR="00A95558" w:rsidRPr="00450FB4" w:rsidRDefault="00D67080" w:rsidP="00240B98">
            <w:pPr>
              <w:spacing w:line="240" w:lineRule="auto"/>
              <w:jc w:val="center"/>
              <w:rPr>
                <w:sz w:val="24"/>
                <w:szCs w:val="24"/>
              </w:rPr>
            </w:pPr>
            <w:r w:rsidRPr="00450FB4">
              <w:rPr>
                <w:sz w:val="24"/>
                <w:szCs w:val="24"/>
              </w:rPr>
              <w:t>0.13</w:t>
            </w:r>
          </w:p>
        </w:tc>
      </w:tr>
      <w:tr w:rsidR="00161788" w:rsidRPr="00450FB4" w14:paraId="6AE2C7DA" w14:textId="77777777" w:rsidTr="000C7E69">
        <w:trPr>
          <w:trHeight w:val="259"/>
        </w:trPr>
        <w:tc>
          <w:tcPr>
            <w:tcW w:w="560" w:type="pct"/>
            <w:vMerge/>
          </w:tcPr>
          <w:p w14:paraId="3134F3C4" w14:textId="77777777" w:rsidR="00A95558" w:rsidRPr="00450FB4" w:rsidRDefault="00A95558" w:rsidP="00240B98">
            <w:pPr>
              <w:spacing w:line="240" w:lineRule="auto"/>
              <w:rPr>
                <w:sz w:val="24"/>
                <w:szCs w:val="24"/>
              </w:rPr>
            </w:pPr>
          </w:p>
        </w:tc>
        <w:tc>
          <w:tcPr>
            <w:tcW w:w="957" w:type="pct"/>
            <w:hideMark/>
          </w:tcPr>
          <w:p w14:paraId="57787780" w14:textId="77777777" w:rsidR="00A95558" w:rsidRPr="00450FB4" w:rsidRDefault="00D67080" w:rsidP="00240B98">
            <w:pPr>
              <w:spacing w:line="240" w:lineRule="auto"/>
              <w:rPr>
                <w:sz w:val="24"/>
                <w:szCs w:val="24"/>
              </w:rPr>
            </w:pPr>
            <w:r w:rsidRPr="00450FB4">
              <w:rPr>
                <w:sz w:val="24"/>
                <w:szCs w:val="24"/>
              </w:rPr>
              <w:t>L_AS_post</w:t>
            </w:r>
          </w:p>
        </w:tc>
        <w:tc>
          <w:tcPr>
            <w:tcW w:w="597" w:type="pct"/>
            <w:hideMark/>
          </w:tcPr>
          <w:p w14:paraId="438D4669" w14:textId="77777777" w:rsidR="00A95558" w:rsidRPr="00450FB4" w:rsidRDefault="00D67080" w:rsidP="00240B98">
            <w:pPr>
              <w:spacing w:line="240" w:lineRule="auto"/>
              <w:jc w:val="center"/>
              <w:rPr>
                <w:sz w:val="24"/>
                <w:szCs w:val="24"/>
              </w:rPr>
            </w:pPr>
            <w:r w:rsidRPr="00450FB4">
              <w:rPr>
                <w:sz w:val="24"/>
                <w:szCs w:val="24"/>
              </w:rPr>
              <w:t>12.30</w:t>
            </w:r>
          </w:p>
        </w:tc>
        <w:tc>
          <w:tcPr>
            <w:tcW w:w="431" w:type="pct"/>
            <w:hideMark/>
          </w:tcPr>
          <w:p w14:paraId="1DD30CFA" w14:textId="77777777" w:rsidR="00A95558" w:rsidRPr="00450FB4" w:rsidRDefault="00D67080" w:rsidP="00240B98">
            <w:pPr>
              <w:spacing w:line="240" w:lineRule="auto"/>
              <w:jc w:val="center"/>
              <w:rPr>
                <w:sz w:val="24"/>
                <w:szCs w:val="24"/>
              </w:rPr>
            </w:pPr>
            <w:r w:rsidRPr="00450FB4">
              <w:rPr>
                <w:sz w:val="24"/>
                <w:szCs w:val="24"/>
              </w:rPr>
              <w:t>374</w:t>
            </w:r>
          </w:p>
        </w:tc>
        <w:tc>
          <w:tcPr>
            <w:tcW w:w="1139" w:type="pct"/>
            <w:hideMark/>
          </w:tcPr>
          <w:p w14:paraId="44A59CB3" w14:textId="77777777" w:rsidR="00A95558" w:rsidRPr="00450FB4" w:rsidRDefault="00D67080" w:rsidP="00240B98">
            <w:pPr>
              <w:spacing w:line="240" w:lineRule="auto"/>
              <w:jc w:val="center"/>
              <w:rPr>
                <w:sz w:val="24"/>
                <w:szCs w:val="24"/>
              </w:rPr>
            </w:pPr>
            <w:r w:rsidRPr="00450FB4">
              <w:rPr>
                <w:sz w:val="24"/>
                <w:szCs w:val="24"/>
              </w:rPr>
              <w:t>2.45</w:t>
            </w:r>
          </w:p>
        </w:tc>
        <w:tc>
          <w:tcPr>
            <w:tcW w:w="1316" w:type="pct"/>
            <w:hideMark/>
          </w:tcPr>
          <w:p w14:paraId="20795C9D" w14:textId="77777777" w:rsidR="00A95558" w:rsidRPr="00450FB4" w:rsidRDefault="00D67080" w:rsidP="00240B98">
            <w:pPr>
              <w:spacing w:line="240" w:lineRule="auto"/>
              <w:jc w:val="center"/>
              <w:rPr>
                <w:sz w:val="24"/>
                <w:szCs w:val="24"/>
              </w:rPr>
            </w:pPr>
            <w:r w:rsidRPr="00450FB4">
              <w:rPr>
                <w:sz w:val="24"/>
                <w:szCs w:val="24"/>
              </w:rPr>
              <w:t>0.12</w:t>
            </w:r>
          </w:p>
        </w:tc>
      </w:tr>
    </w:tbl>
    <w:p w14:paraId="1919E7B7" w14:textId="77777777" w:rsidR="00A95558" w:rsidRPr="00450FB4" w:rsidRDefault="00A95558" w:rsidP="00A95558">
      <w:pPr>
        <w:widowControl/>
        <w:suppressAutoHyphens/>
        <w:autoSpaceDE/>
        <w:autoSpaceDN/>
        <w:spacing w:after="160"/>
        <w:rPr>
          <w:color w:val="000000"/>
          <w:kern w:val="1"/>
          <w:sz w:val="24"/>
          <w:szCs w:val="24"/>
          <w:lang w:eastAsia="ar-SA"/>
        </w:rPr>
      </w:pPr>
    </w:p>
    <w:p w14:paraId="11DB1227" w14:textId="77777777" w:rsidR="00A95558" w:rsidRPr="00450FB4" w:rsidRDefault="00D67080" w:rsidP="00A95558">
      <w:pPr>
        <w:widowControl/>
        <w:numPr>
          <w:ilvl w:val="1"/>
          <w:numId w:val="18"/>
        </w:numPr>
        <w:suppressAutoHyphens/>
        <w:autoSpaceDE/>
        <w:autoSpaceDN/>
        <w:spacing w:after="160" w:line="480" w:lineRule="auto"/>
        <w:ind w:left="0" w:firstLine="0"/>
        <w:jc w:val="both"/>
        <w:rPr>
          <w:b/>
          <w:bCs/>
          <w:i/>
          <w:iCs/>
          <w:color w:val="000000"/>
          <w:kern w:val="1"/>
          <w:sz w:val="24"/>
          <w:szCs w:val="24"/>
          <w:lang w:eastAsia="ar-SA"/>
        </w:rPr>
      </w:pPr>
      <w:r w:rsidRPr="00450FB4">
        <w:rPr>
          <w:b/>
          <w:bCs/>
          <w:i/>
          <w:iCs/>
          <w:color w:val="000000"/>
          <w:kern w:val="1"/>
          <w:sz w:val="24"/>
          <w:szCs w:val="24"/>
          <w:lang w:eastAsia="ar-SA"/>
        </w:rPr>
        <w:t>Impact of Mergers on Financial Metrics: Evidence from Paired Sample T-Tests</w:t>
      </w:r>
    </w:p>
    <w:p w14:paraId="1C541E43" w14:textId="77777777" w:rsidR="00A95558" w:rsidRPr="00450FB4" w:rsidRDefault="00D67080" w:rsidP="00A95558">
      <w:pPr>
        <w:widowControl/>
        <w:suppressAutoHyphens/>
        <w:autoSpaceDE/>
        <w:autoSpaceDN/>
        <w:jc w:val="both"/>
        <w:rPr>
          <w:color w:val="000000"/>
          <w:kern w:val="1"/>
          <w:sz w:val="24"/>
          <w:szCs w:val="24"/>
          <w:lang w:eastAsia="ar-SA"/>
        </w:rPr>
      </w:pPr>
      <w:bookmarkStart w:id="18" w:name="_Hlk173006173"/>
      <w:r w:rsidRPr="00450FB4">
        <w:rPr>
          <w:color w:val="000000"/>
          <w:kern w:val="1"/>
          <w:sz w:val="24"/>
          <w:szCs w:val="24"/>
          <w:lang w:eastAsia="ar-SA"/>
        </w:rPr>
        <w:t>Table 5 displays the results of paired sample t-tests comparing differences in various financial variables before and after mergers.</w:t>
      </w:r>
    </w:p>
    <w:bookmarkEnd w:id="18"/>
    <w:p w14:paraId="6219BDBD" w14:textId="77777777" w:rsidR="00A95558" w:rsidRPr="00450FB4" w:rsidRDefault="00A95558" w:rsidP="00A95558">
      <w:pPr>
        <w:widowControl/>
        <w:suppressAutoHyphens/>
        <w:autoSpaceDE/>
        <w:autoSpaceDN/>
        <w:jc w:val="both"/>
        <w:rPr>
          <w:color w:val="000000"/>
          <w:kern w:val="1"/>
          <w:sz w:val="24"/>
          <w:szCs w:val="24"/>
          <w:lang w:eastAsia="ar-SA"/>
        </w:rPr>
      </w:pPr>
    </w:p>
    <w:p w14:paraId="1090EDDB"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ROA (Return on Assets): </w:t>
      </w:r>
      <w:bookmarkStart w:id="19" w:name="_Hlk173008212"/>
      <w:r w:rsidRPr="00450FB4">
        <w:rPr>
          <w:color w:val="000000"/>
          <w:kern w:val="1"/>
          <w:sz w:val="24"/>
          <w:szCs w:val="24"/>
          <w:lang w:eastAsia="ar-SA"/>
        </w:rPr>
        <w:t xml:space="preserve">The mean value of the return of assets for pair 1 (ROA-Pre and ROA-post) is 1.336, with </w:t>
      </w:r>
      <w:bookmarkStart w:id="20" w:name="docs-internal-guid-32175790-7fff-cf88-3e"/>
      <w:bookmarkEnd w:id="20"/>
      <w:r w:rsidRPr="00450FB4">
        <w:rPr>
          <w:color w:val="000000"/>
          <w:kern w:val="1"/>
          <w:sz w:val="24"/>
          <w:szCs w:val="24"/>
          <w:lang w:eastAsia="ar-SA"/>
        </w:rPr>
        <w:t xml:space="preserve">a t-statistic at 3.313 and a p-value of 0.001, </w:t>
      </w:r>
      <w:r w:rsidRPr="00450FB4">
        <w:rPr>
          <w:color w:val="000000"/>
          <w:kern w:val="1"/>
          <w:sz w:val="24"/>
          <w:szCs w:val="24"/>
          <w:lang w:eastAsia="ar-SA"/>
        </w:rPr>
        <w:lastRenderedPageBreak/>
        <w:t xml:space="preserve">which shows that the fintech acquisition has a significant impact on the ROA of acquiring firms. </w:t>
      </w:r>
      <w:bookmarkStart w:id="21" w:name="_Hlk173008439"/>
      <w:r w:rsidRPr="00450FB4">
        <w:rPr>
          <w:color w:val="000000"/>
          <w:kern w:val="1"/>
          <w:sz w:val="24"/>
          <w:szCs w:val="24"/>
          <w:lang w:eastAsia="ar-SA"/>
        </w:rPr>
        <w:t xml:space="preserve">However, the ROA has reduced with an M&amp;A margin of 1.336. </w:t>
      </w:r>
    </w:p>
    <w:bookmarkEnd w:id="19"/>
    <w:bookmarkEnd w:id="21"/>
    <w:p w14:paraId="23019725" w14:textId="77777777" w:rsidR="00A95558" w:rsidRPr="00450FB4" w:rsidRDefault="00A95558" w:rsidP="00A95558">
      <w:pPr>
        <w:widowControl/>
        <w:suppressAutoHyphens/>
        <w:autoSpaceDE/>
        <w:autoSpaceDN/>
        <w:jc w:val="both"/>
        <w:rPr>
          <w:color w:val="000000"/>
          <w:kern w:val="1"/>
          <w:sz w:val="24"/>
          <w:szCs w:val="24"/>
          <w:lang w:eastAsia="ar-SA"/>
        </w:rPr>
      </w:pPr>
    </w:p>
    <w:p w14:paraId="0F101CD8"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NPM (Net Profit Margin): The mean value for pair 2 variable NPM (NPM-Pre and NPM-post) is 1.618, </w:t>
      </w:r>
      <w:bookmarkStart w:id="22" w:name="_Hlk173008628"/>
      <w:r w:rsidRPr="00450FB4">
        <w:rPr>
          <w:color w:val="000000"/>
          <w:kern w:val="1"/>
          <w:sz w:val="24"/>
          <w:szCs w:val="24"/>
          <w:lang w:eastAsia="ar-SA"/>
        </w:rPr>
        <w:t>with a t-statistic at 1.519 and a p-value of 0.13, which shows that the fintech acquisition has an insignificant impact on the NPM of acquiring firms</w:t>
      </w:r>
      <w:bookmarkEnd w:id="22"/>
      <w:r w:rsidRPr="00450FB4">
        <w:rPr>
          <w:color w:val="000000"/>
          <w:kern w:val="1"/>
          <w:sz w:val="24"/>
          <w:szCs w:val="24"/>
          <w:lang w:eastAsia="ar-SA"/>
        </w:rPr>
        <w:t xml:space="preserve">. However, the NPM has reduced with post M&amp;A margin of 1.618. </w:t>
      </w:r>
    </w:p>
    <w:p w14:paraId="782F38FF" w14:textId="77777777" w:rsidR="00A95558" w:rsidRPr="00450FB4" w:rsidRDefault="00A95558" w:rsidP="00A95558">
      <w:pPr>
        <w:widowControl/>
        <w:suppressAutoHyphens/>
        <w:autoSpaceDE/>
        <w:autoSpaceDN/>
        <w:jc w:val="both"/>
        <w:rPr>
          <w:color w:val="000000"/>
          <w:kern w:val="1"/>
          <w:sz w:val="24"/>
          <w:szCs w:val="24"/>
          <w:lang w:eastAsia="ar-SA"/>
        </w:rPr>
      </w:pPr>
    </w:p>
    <w:p w14:paraId="46AA871F"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ASP (Average Share Price): For pair 3 variable, ASP, the mean value difference (ASP-Pre and ASP-post) is -305.820, with a t-statistic at -9.035 and a p-value of 0.00, which shows that the fintech acquisition has a significant impact on the ASP of acquiring firms after the merger. The ASP has increased by INR 305.80 after the merger, demonstrating the significant impact of M&amp;A on the market performance of the acquirer.</w:t>
      </w:r>
    </w:p>
    <w:p w14:paraId="170E8D1A" w14:textId="77777777" w:rsidR="00A95558" w:rsidRPr="00450FB4" w:rsidRDefault="00A95558" w:rsidP="00A95558">
      <w:pPr>
        <w:widowControl/>
        <w:suppressAutoHyphens/>
        <w:autoSpaceDE/>
        <w:autoSpaceDN/>
        <w:jc w:val="both"/>
        <w:rPr>
          <w:color w:val="000000"/>
          <w:kern w:val="1"/>
          <w:sz w:val="24"/>
          <w:szCs w:val="24"/>
          <w:lang w:eastAsia="ar-SA"/>
        </w:rPr>
      </w:pPr>
    </w:p>
    <w:p w14:paraId="2447D3F2"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CR (Current Ratio): The mean value difference for pair 4 for the current ratio (CR-pre and CR-post) is -0.023, the t-value at -0.157, and the p-value of 0.875, indicating no significant difference in CR before and after mergers. The analysis shows that the CR has remained unchanged for the acquirer post the fintech acquisition. </w:t>
      </w:r>
    </w:p>
    <w:p w14:paraId="729AB8E9" w14:textId="77777777" w:rsidR="00A95558" w:rsidRPr="00450FB4" w:rsidRDefault="00A95558" w:rsidP="00A95558">
      <w:pPr>
        <w:widowControl/>
        <w:suppressAutoHyphens/>
        <w:autoSpaceDE/>
        <w:autoSpaceDN/>
        <w:jc w:val="both"/>
        <w:rPr>
          <w:color w:val="000000"/>
          <w:kern w:val="1"/>
          <w:sz w:val="24"/>
          <w:szCs w:val="24"/>
          <w:lang w:eastAsia="ar-SA"/>
        </w:rPr>
      </w:pPr>
    </w:p>
    <w:p w14:paraId="34B4C638"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FL (Financial Leverage): The mean value difference for pair 5, financial leverage pair (FL-Pre and FL-post) is 4.803 with the t-value at 0.750 and p-value of 0.454, indicating no significant difference in FL for acquiring firms before and after mergers.</w:t>
      </w:r>
    </w:p>
    <w:p w14:paraId="16252AB0" w14:textId="77777777" w:rsidR="00A95558" w:rsidRPr="00450FB4" w:rsidRDefault="00A95558" w:rsidP="00A95558">
      <w:pPr>
        <w:widowControl/>
        <w:suppressAutoHyphens/>
        <w:autoSpaceDE/>
        <w:autoSpaceDN/>
        <w:jc w:val="both"/>
        <w:rPr>
          <w:color w:val="000000"/>
          <w:kern w:val="1"/>
          <w:sz w:val="24"/>
          <w:szCs w:val="24"/>
          <w:lang w:eastAsia="ar-SA"/>
        </w:rPr>
      </w:pPr>
    </w:p>
    <w:p w14:paraId="2AE35B56"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L_AS (Logarithm of Total Assets): The mean value difference for pair 6 variable, total asset (L-AS-Pre and L-AS-post) is -0.678, with t-value at -13.433 and the p-value at 0.000, indicating a significant difference in the logarithm of total assets after the mergers. The asset value for the acquiring firms has increased after the fintech acquisition.</w:t>
      </w:r>
    </w:p>
    <w:p w14:paraId="6F33AAF6" w14:textId="77777777" w:rsidR="00A95558" w:rsidRPr="00450FB4" w:rsidRDefault="00A95558" w:rsidP="00A95558">
      <w:pPr>
        <w:widowControl/>
        <w:suppressAutoHyphens/>
        <w:autoSpaceDE/>
        <w:autoSpaceDN/>
        <w:jc w:val="both"/>
        <w:rPr>
          <w:color w:val="000000"/>
          <w:kern w:val="1"/>
          <w:sz w:val="24"/>
          <w:szCs w:val="24"/>
          <w:lang w:eastAsia="ar-SA"/>
        </w:rPr>
      </w:pPr>
    </w:p>
    <w:p w14:paraId="2C328C77"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These results suggest varying impacts of mergers on different financial metrics, with a significant reduction observed in ROA and NPM but a significant increase in ASP and L_AS. In contrast, other metrics like CR and FL show no significant changes.</w:t>
      </w:r>
    </w:p>
    <w:p w14:paraId="2A4376B1" w14:textId="77777777" w:rsidR="00102A96" w:rsidRPr="00450FB4" w:rsidRDefault="00102A96" w:rsidP="00A95558">
      <w:pPr>
        <w:widowControl/>
        <w:suppressAutoHyphens/>
        <w:autoSpaceDE/>
        <w:autoSpaceDN/>
        <w:jc w:val="both"/>
        <w:rPr>
          <w:color w:val="000000"/>
          <w:kern w:val="1"/>
          <w:sz w:val="24"/>
          <w:szCs w:val="24"/>
          <w:lang w:eastAsia="ar-SA"/>
        </w:rPr>
      </w:pPr>
    </w:p>
    <w:p w14:paraId="792D2662" w14:textId="77777777" w:rsidR="00102A96" w:rsidRPr="00450FB4" w:rsidRDefault="00102A96" w:rsidP="00A95558">
      <w:pPr>
        <w:widowControl/>
        <w:suppressAutoHyphens/>
        <w:autoSpaceDE/>
        <w:autoSpaceDN/>
        <w:jc w:val="both"/>
        <w:rPr>
          <w:color w:val="000000"/>
          <w:kern w:val="1"/>
          <w:sz w:val="24"/>
          <w:szCs w:val="24"/>
          <w:lang w:eastAsia="ar-SA"/>
        </w:rPr>
      </w:pPr>
    </w:p>
    <w:p w14:paraId="542685BF" w14:textId="77777777" w:rsidR="00A95558" w:rsidRPr="00450FB4" w:rsidRDefault="00A95558" w:rsidP="00A95558">
      <w:pPr>
        <w:widowControl/>
        <w:suppressAutoHyphens/>
        <w:autoSpaceDE/>
        <w:autoSpaceDN/>
        <w:jc w:val="both"/>
        <w:rPr>
          <w:b/>
          <w:color w:val="010205"/>
          <w:kern w:val="1"/>
          <w:sz w:val="24"/>
          <w:szCs w:val="24"/>
          <w:u w:val="single"/>
          <w:lang w:eastAsia="ar-SA"/>
        </w:rPr>
      </w:pPr>
    </w:p>
    <w:p w14:paraId="64E5CBDF" w14:textId="77777777" w:rsidR="00A95558" w:rsidRPr="00450FB4" w:rsidRDefault="00D67080" w:rsidP="00A95558">
      <w:pPr>
        <w:widowControl/>
        <w:suppressAutoHyphens/>
        <w:autoSpaceDE/>
        <w:autoSpaceDN/>
        <w:ind w:left="720" w:hanging="720"/>
        <w:jc w:val="center"/>
        <w:rPr>
          <w:b/>
          <w:color w:val="010205"/>
          <w:kern w:val="1"/>
          <w:sz w:val="24"/>
          <w:szCs w:val="24"/>
          <w:lang w:eastAsia="ar-SA"/>
        </w:rPr>
      </w:pPr>
      <w:r w:rsidRPr="00450FB4">
        <w:rPr>
          <w:b/>
          <w:color w:val="010205"/>
          <w:kern w:val="1"/>
          <w:sz w:val="24"/>
          <w:szCs w:val="24"/>
          <w:lang w:eastAsia="ar-SA"/>
        </w:rPr>
        <w:t>Table 5: Paired Sample T-test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50"/>
        <w:gridCol w:w="1585"/>
        <w:gridCol w:w="900"/>
        <w:gridCol w:w="1107"/>
        <w:gridCol w:w="1043"/>
        <w:gridCol w:w="780"/>
        <w:gridCol w:w="728"/>
        <w:gridCol w:w="1007"/>
      </w:tblGrid>
      <w:tr w:rsidR="00161788" w:rsidRPr="00450FB4" w14:paraId="67FCFEEB" w14:textId="77777777" w:rsidTr="000C7E69">
        <w:trPr>
          <w:cantSplit/>
          <w:trHeight w:val="42"/>
        </w:trPr>
        <w:tc>
          <w:tcPr>
            <w:tcW w:w="1408" w:type="pct"/>
            <w:gridSpan w:val="2"/>
            <w:vMerge w:val="restart"/>
            <w:tcBorders>
              <w:top w:val="single" w:sz="4" w:space="0" w:color="auto"/>
              <w:bottom w:val="single" w:sz="4" w:space="0" w:color="auto"/>
            </w:tcBorders>
            <w:shd w:val="clear" w:color="auto" w:fill="FFFFFF"/>
            <w:vAlign w:val="bottom"/>
          </w:tcPr>
          <w:p w14:paraId="5ECB21E5" w14:textId="77777777" w:rsidR="00A95558" w:rsidRPr="00450FB4" w:rsidRDefault="00A95558" w:rsidP="00240B98">
            <w:pPr>
              <w:widowControl/>
              <w:suppressAutoHyphens/>
              <w:adjustRightInd w:val="0"/>
              <w:spacing w:line="276" w:lineRule="auto"/>
              <w:rPr>
                <w:kern w:val="1"/>
                <w:sz w:val="24"/>
                <w:szCs w:val="24"/>
                <w:lang w:eastAsia="ar-SA"/>
              </w:rPr>
            </w:pPr>
          </w:p>
        </w:tc>
        <w:tc>
          <w:tcPr>
            <w:tcW w:w="1962" w:type="pct"/>
            <w:gridSpan w:val="3"/>
            <w:tcBorders>
              <w:top w:val="single" w:sz="4" w:space="0" w:color="auto"/>
              <w:bottom w:val="nil"/>
            </w:tcBorders>
            <w:shd w:val="clear" w:color="auto" w:fill="FFFFFF"/>
            <w:vAlign w:val="bottom"/>
          </w:tcPr>
          <w:p w14:paraId="31E04002" w14:textId="77777777" w:rsidR="00A95558" w:rsidRPr="00450FB4" w:rsidRDefault="00A95558" w:rsidP="00240B98">
            <w:pPr>
              <w:widowControl/>
              <w:suppressAutoHyphens/>
              <w:adjustRightInd w:val="0"/>
              <w:spacing w:line="276" w:lineRule="auto"/>
              <w:ind w:left="60" w:right="60"/>
              <w:rPr>
                <w:b/>
                <w:bCs/>
                <w:kern w:val="1"/>
                <w:sz w:val="2"/>
                <w:szCs w:val="2"/>
                <w:lang w:eastAsia="ar-SA"/>
              </w:rPr>
            </w:pPr>
          </w:p>
        </w:tc>
        <w:tc>
          <w:tcPr>
            <w:tcW w:w="483" w:type="pct"/>
            <w:vMerge w:val="restart"/>
            <w:tcBorders>
              <w:top w:val="single" w:sz="4" w:space="0" w:color="auto"/>
              <w:bottom w:val="nil"/>
            </w:tcBorders>
            <w:shd w:val="clear" w:color="auto" w:fill="FFFFFF"/>
            <w:vAlign w:val="bottom"/>
          </w:tcPr>
          <w:p w14:paraId="03046333"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t</w:t>
            </w:r>
          </w:p>
        </w:tc>
        <w:tc>
          <w:tcPr>
            <w:tcW w:w="483" w:type="pct"/>
            <w:vMerge w:val="restart"/>
            <w:tcBorders>
              <w:top w:val="single" w:sz="4" w:space="0" w:color="auto"/>
              <w:bottom w:val="single" w:sz="4" w:space="0" w:color="auto"/>
            </w:tcBorders>
            <w:shd w:val="clear" w:color="auto" w:fill="FFFFFF"/>
            <w:vAlign w:val="bottom"/>
          </w:tcPr>
          <w:p w14:paraId="5A5E402A"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df</w:t>
            </w:r>
          </w:p>
        </w:tc>
        <w:tc>
          <w:tcPr>
            <w:tcW w:w="664" w:type="pct"/>
            <w:vMerge w:val="restart"/>
            <w:tcBorders>
              <w:top w:val="single" w:sz="4" w:space="0" w:color="auto"/>
              <w:bottom w:val="single" w:sz="4" w:space="0" w:color="auto"/>
            </w:tcBorders>
            <w:shd w:val="clear" w:color="auto" w:fill="FFFFFF"/>
            <w:vAlign w:val="bottom"/>
          </w:tcPr>
          <w:p w14:paraId="6CD084A4"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 xml:space="preserve">Sig. </w:t>
            </w:r>
          </w:p>
          <w:p w14:paraId="167D8250"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(2-tailed)</w:t>
            </w:r>
          </w:p>
        </w:tc>
      </w:tr>
      <w:tr w:rsidR="00161788" w:rsidRPr="00450FB4" w14:paraId="25132135" w14:textId="77777777" w:rsidTr="000C7E69">
        <w:trPr>
          <w:cantSplit/>
          <w:trHeight w:val="143"/>
        </w:trPr>
        <w:tc>
          <w:tcPr>
            <w:tcW w:w="1408" w:type="pct"/>
            <w:gridSpan w:val="2"/>
            <w:vMerge/>
            <w:tcBorders>
              <w:top w:val="single" w:sz="4" w:space="0" w:color="auto"/>
            </w:tcBorders>
            <w:shd w:val="clear" w:color="auto" w:fill="FFFFFF"/>
            <w:vAlign w:val="bottom"/>
          </w:tcPr>
          <w:p w14:paraId="6FCC5EA0" w14:textId="77777777" w:rsidR="00A95558" w:rsidRPr="00450FB4" w:rsidRDefault="00A95558" w:rsidP="00240B98">
            <w:pPr>
              <w:widowControl/>
              <w:suppressAutoHyphens/>
              <w:adjustRightInd w:val="0"/>
              <w:spacing w:line="276" w:lineRule="auto"/>
              <w:rPr>
                <w:kern w:val="1"/>
                <w:sz w:val="24"/>
                <w:szCs w:val="24"/>
                <w:lang w:eastAsia="ar-SA"/>
              </w:rPr>
            </w:pPr>
          </w:p>
        </w:tc>
        <w:tc>
          <w:tcPr>
            <w:tcW w:w="591" w:type="pct"/>
            <w:tcBorders>
              <w:top w:val="nil"/>
              <w:bottom w:val="single" w:sz="4" w:space="0" w:color="auto"/>
            </w:tcBorders>
            <w:shd w:val="clear" w:color="auto" w:fill="FFFFFF"/>
            <w:vAlign w:val="bottom"/>
          </w:tcPr>
          <w:p w14:paraId="0E57177D"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Mean</w:t>
            </w:r>
          </w:p>
        </w:tc>
        <w:tc>
          <w:tcPr>
            <w:tcW w:w="678" w:type="pct"/>
            <w:tcBorders>
              <w:top w:val="nil"/>
              <w:bottom w:val="single" w:sz="4" w:space="0" w:color="auto"/>
            </w:tcBorders>
            <w:shd w:val="clear" w:color="auto" w:fill="FFFFFF"/>
            <w:vAlign w:val="bottom"/>
          </w:tcPr>
          <w:p w14:paraId="3E2CD786"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Std. Deviation</w:t>
            </w:r>
          </w:p>
        </w:tc>
        <w:tc>
          <w:tcPr>
            <w:tcW w:w="693" w:type="pct"/>
            <w:tcBorders>
              <w:top w:val="nil"/>
              <w:bottom w:val="single" w:sz="4" w:space="0" w:color="auto"/>
            </w:tcBorders>
            <w:shd w:val="clear" w:color="auto" w:fill="FFFFFF"/>
            <w:vAlign w:val="bottom"/>
          </w:tcPr>
          <w:p w14:paraId="59550399" w14:textId="77777777" w:rsidR="00A95558" w:rsidRPr="00450FB4" w:rsidRDefault="00D67080" w:rsidP="00240B98">
            <w:pPr>
              <w:widowControl/>
              <w:suppressAutoHyphens/>
              <w:adjustRightInd w:val="0"/>
              <w:spacing w:line="276" w:lineRule="auto"/>
              <w:ind w:left="60" w:right="60"/>
              <w:rPr>
                <w:b/>
                <w:bCs/>
                <w:kern w:val="1"/>
                <w:sz w:val="24"/>
                <w:szCs w:val="24"/>
                <w:lang w:eastAsia="ar-SA"/>
              </w:rPr>
            </w:pPr>
            <w:r w:rsidRPr="00450FB4">
              <w:rPr>
                <w:b/>
                <w:bCs/>
                <w:kern w:val="1"/>
                <w:sz w:val="24"/>
                <w:szCs w:val="24"/>
                <w:lang w:eastAsia="ar-SA"/>
              </w:rPr>
              <w:t>Std. Error Mean</w:t>
            </w:r>
          </w:p>
        </w:tc>
        <w:tc>
          <w:tcPr>
            <w:tcW w:w="483" w:type="pct"/>
            <w:vMerge/>
            <w:tcBorders>
              <w:top w:val="nil"/>
              <w:bottom w:val="single" w:sz="4" w:space="0" w:color="auto"/>
            </w:tcBorders>
            <w:shd w:val="clear" w:color="auto" w:fill="FFFFFF"/>
            <w:vAlign w:val="bottom"/>
          </w:tcPr>
          <w:p w14:paraId="2D77EF35" w14:textId="77777777" w:rsidR="00A95558" w:rsidRPr="00450FB4" w:rsidRDefault="00A95558" w:rsidP="00240B98">
            <w:pPr>
              <w:widowControl/>
              <w:suppressAutoHyphens/>
              <w:adjustRightInd w:val="0"/>
              <w:spacing w:line="276" w:lineRule="auto"/>
              <w:rPr>
                <w:b/>
                <w:bCs/>
                <w:kern w:val="1"/>
                <w:sz w:val="24"/>
                <w:szCs w:val="24"/>
                <w:lang w:eastAsia="ar-SA"/>
              </w:rPr>
            </w:pPr>
          </w:p>
        </w:tc>
        <w:tc>
          <w:tcPr>
            <w:tcW w:w="483" w:type="pct"/>
            <w:vMerge/>
            <w:tcBorders>
              <w:top w:val="single" w:sz="4" w:space="0" w:color="auto"/>
              <w:bottom w:val="single" w:sz="4" w:space="0" w:color="auto"/>
            </w:tcBorders>
            <w:shd w:val="clear" w:color="auto" w:fill="FFFFFF"/>
            <w:vAlign w:val="bottom"/>
          </w:tcPr>
          <w:p w14:paraId="6D2089EF" w14:textId="77777777" w:rsidR="00A95558" w:rsidRPr="00450FB4" w:rsidRDefault="00A95558" w:rsidP="00240B98">
            <w:pPr>
              <w:widowControl/>
              <w:suppressAutoHyphens/>
              <w:adjustRightInd w:val="0"/>
              <w:spacing w:line="276" w:lineRule="auto"/>
              <w:rPr>
                <w:b/>
                <w:bCs/>
                <w:kern w:val="1"/>
                <w:sz w:val="24"/>
                <w:szCs w:val="24"/>
                <w:lang w:eastAsia="ar-SA"/>
              </w:rPr>
            </w:pPr>
          </w:p>
        </w:tc>
        <w:tc>
          <w:tcPr>
            <w:tcW w:w="664" w:type="pct"/>
            <w:vMerge/>
            <w:tcBorders>
              <w:top w:val="single" w:sz="4" w:space="0" w:color="auto"/>
              <w:bottom w:val="single" w:sz="4" w:space="0" w:color="auto"/>
            </w:tcBorders>
            <w:shd w:val="clear" w:color="auto" w:fill="FFFFFF"/>
            <w:vAlign w:val="bottom"/>
          </w:tcPr>
          <w:p w14:paraId="1458932F" w14:textId="77777777" w:rsidR="00A95558" w:rsidRPr="00450FB4" w:rsidRDefault="00A95558" w:rsidP="00240B98">
            <w:pPr>
              <w:widowControl/>
              <w:suppressAutoHyphens/>
              <w:adjustRightInd w:val="0"/>
              <w:spacing w:line="276" w:lineRule="auto"/>
              <w:rPr>
                <w:b/>
                <w:bCs/>
                <w:kern w:val="1"/>
                <w:sz w:val="24"/>
                <w:szCs w:val="24"/>
                <w:lang w:eastAsia="ar-SA"/>
              </w:rPr>
            </w:pPr>
          </w:p>
        </w:tc>
      </w:tr>
      <w:tr w:rsidR="00161788" w:rsidRPr="00450FB4" w14:paraId="32C60EF3" w14:textId="77777777" w:rsidTr="000C7E69">
        <w:trPr>
          <w:cantSplit/>
          <w:trHeight w:val="312"/>
        </w:trPr>
        <w:tc>
          <w:tcPr>
            <w:tcW w:w="368" w:type="pct"/>
            <w:shd w:val="clear" w:color="auto" w:fill="E0E0E0"/>
          </w:tcPr>
          <w:p w14:paraId="69EDAB65"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1</w:t>
            </w:r>
          </w:p>
        </w:tc>
        <w:tc>
          <w:tcPr>
            <w:tcW w:w="1040" w:type="pct"/>
            <w:shd w:val="clear" w:color="auto" w:fill="E0E0E0"/>
          </w:tcPr>
          <w:p w14:paraId="5DD523EC"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ROA_Pre - ROA_post</w:t>
            </w:r>
          </w:p>
        </w:tc>
        <w:tc>
          <w:tcPr>
            <w:tcW w:w="591" w:type="pct"/>
            <w:tcBorders>
              <w:top w:val="single" w:sz="4" w:space="0" w:color="auto"/>
            </w:tcBorders>
            <w:shd w:val="clear" w:color="auto" w:fill="FFFFFF"/>
          </w:tcPr>
          <w:p w14:paraId="54CFF39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1.336</w:t>
            </w:r>
          </w:p>
        </w:tc>
        <w:tc>
          <w:tcPr>
            <w:tcW w:w="678" w:type="pct"/>
            <w:tcBorders>
              <w:top w:val="single" w:sz="4" w:space="0" w:color="auto"/>
            </w:tcBorders>
            <w:shd w:val="clear" w:color="auto" w:fill="FFFFFF"/>
          </w:tcPr>
          <w:p w14:paraId="48C0E66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7.393</w:t>
            </w:r>
          </w:p>
        </w:tc>
        <w:tc>
          <w:tcPr>
            <w:tcW w:w="693" w:type="pct"/>
            <w:tcBorders>
              <w:top w:val="single" w:sz="4" w:space="0" w:color="auto"/>
            </w:tcBorders>
            <w:shd w:val="clear" w:color="auto" w:fill="FFFFFF"/>
          </w:tcPr>
          <w:p w14:paraId="2B541BF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.403</w:t>
            </w:r>
          </w:p>
        </w:tc>
        <w:tc>
          <w:tcPr>
            <w:tcW w:w="483" w:type="pct"/>
            <w:tcBorders>
              <w:top w:val="single" w:sz="4" w:space="0" w:color="auto"/>
            </w:tcBorders>
            <w:shd w:val="clear" w:color="auto" w:fill="FFFFFF"/>
          </w:tcPr>
          <w:p w14:paraId="54C1BA0E"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3.313</w:t>
            </w:r>
          </w:p>
        </w:tc>
        <w:tc>
          <w:tcPr>
            <w:tcW w:w="483" w:type="pct"/>
            <w:tcBorders>
              <w:top w:val="single" w:sz="4" w:space="0" w:color="auto"/>
            </w:tcBorders>
            <w:shd w:val="clear" w:color="auto" w:fill="FFFFFF"/>
          </w:tcPr>
          <w:p w14:paraId="270B976F"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335</w:t>
            </w:r>
          </w:p>
        </w:tc>
        <w:tc>
          <w:tcPr>
            <w:tcW w:w="664" w:type="pct"/>
            <w:tcBorders>
              <w:top w:val="single" w:sz="4" w:space="0" w:color="auto"/>
            </w:tcBorders>
            <w:shd w:val="clear" w:color="auto" w:fill="FFFFFF"/>
          </w:tcPr>
          <w:p w14:paraId="02BD49D4"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.001</w:t>
            </w:r>
          </w:p>
        </w:tc>
      </w:tr>
      <w:tr w:rsidR="00161788" w:rsidRPr="00450FB4" w14:paraId="3A262585" w14:textId="77777777" w:rsidTr="000C7E69">
        <w:trPr>
          <w:cantSplit/>
          <w:trHeight w:val="319"/>
        </w:trPr>
        <w:tc>
          <w:tcPr>
            <w:tcW w:w="368" w:type="pct"/>
            <w:shd w:val="clear" w:color="auto" w:fill="E0E0E0"/>
          </w:tcPr>
          <w:p w14:paraId="73385E50"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2</w:t>
            </w:r>
          </w:p>
        </w:tc>
        <w:tc>
          <w:tcPr>
            <w:tcW w:w="1040" w:type="pct"/>
            <w:shd w:val="clear" w:color="auto" w:fill="E0E0E0"/>
          </w:tcPr>
          <w:p w14:paraId="54871255"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NPM_Pre - NPM_post</w:t>
            </w:r>
          </w:p>
        </w:tc>
        <w:tc>
          <w:tcPr>
            <w:tcW w:w="591" w:type="pct"/>
            <w:shd w:val="clear" w:color="auto" w:fill="FFFFFF"/>
          </w:tcPr>
          <w:p w14:paraId="5CD716AD"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1.618</w:t>
            </w:r>
          </w:p>
        </w:tc>
        <w:tc>
          <w:tcPr>
            <w:tcW w:w="678" w:type="pct"/>
            <w:shd w:val="clear" w:color="auto" w:fill="FFFFFF"/>
          </w:tcPr>
          <w:p w14:paraId="428DD5D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19.737</w:t>
            </w:r>
          </w:p>
        </w:tc>
        <w:tc>
          <w:tcPr>
            <w:tcW w:w="693" w:type="pct"/>
            <w:shd w:val="clear" w:color="auto" w:fill="FFFFFF"/>
          </w:tcPr>
          <w:p w14:paraId="5651A7FE"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1.065</w:t>
            </w:r>
          </w:p>
        </w:tc>
        <w:tc>
          <w:tcPr>
            <w:tcW w:w="483" w:type="pct"/>
            <w:shd w:val="clear" w:color="auto" w:fill="FFFFFF"/>
          </w:tcPr>
          <w:p w14:paraId="15A6A407"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1.519</w:t>
            </w:r>
          </w:p>
        </w:tc>
        <w:tc>
          <w:tcPr>
            <w:tcW w:w="483" w:type="pct"/>
            <w:shd w:val="clear" w:color="auto" w:fill="FFFFFF"/>
          </w:tcPr>
          <w:p w14:paraId="34EF517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342</w:t>
            </w:r>
          </w:p>
        </w:tc>
        <w:tc>
          <w:tcPr>
            <w:tcW w:w="664" w:type="pct"/>
            <w:shd w:val="clear" w:color="auto" w:fill="FFFFFF"/>
          </w:tcPr>
          <w:p w14:paraId="5C1559E2"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.130</w:t>
            </w:r>
          </w:p>
        </w:tc>
      </w:tr>
      <w:tr w:rsidR="00161788" w:rsidRPr="00450FB4" w14:paraId="081ABA4A" w14:textId="77777777" w:rsidTr="000C7E69">
        <w:trPr>
          <w:cantSplit/>
          <w:trHeight w:val="319"/>
        </w:trPr>
        <w:tc>
          <w:tcPr>
            <w:tcW w:w="368" w:type="pct"/>
            <w:shd w:val="clear" w:color="auto" w:fill="E0E0E0"/>
          </w:tcPr>
          <w:p w14:paraId="647A20CD"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3</w:t>
            </w:r>
          </w:p>
        </w:tc>
        <w:tc>
          <w:tcPr>
            <w:tcW w:w="1040" w:type="pct"/>
            <w:shd w:val="clear" w:color="auto" w:fill="E0E0E0"/>
          </w:tcPr>
          <w:p w14:paraId="3C494F3C"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ASP_Pre - ASP_post</w:t>
            </w:r>
          </w:p>
        </w:tc>
        <w:tc>
          <w:tcPr>
            <w:tcW w:w="591" w:type="pct"/>
            <w:shd w:val="clear" w:color="auto" w:fill="FFFFFF"/>
          </w:tcPr>
          <w:p w14:paraId="637186D0"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-305.820</w:t>
            </w:r>
          </w:p>
        </w:tc>
        <w:tc>
          <w:tcPr>
            <w:tcW w:w="678" w:type="pct"/>
            <w:shd w:val="clear" w:color="auto" w:fill="FFFFFF"/>
          </w:tcPr>
          <w:p w14:paraId="154DC77C"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673.541</w:t>
            </w:r>
          </w:p>
        </w:tc>
        <w:tc>
          <w:tcPr>
            <w:tcW w:w="693" w:type="pct"/>
            <w:shd w:val="clear" w:color="auto" w:fill="FFFFFF"/>
          </w:tcPr>
          <w:p w14:paraId="63EAA56E"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33.846</w:t>
            </w:r>
          </w:p>
        </w:tc>
        <w:tc>
          <w:tcPr>
            <w:tcW w:w="483" w:type="pct"/>
            <w:shd w:val="clear" w:color="auto" w:fill="FFFFFF"/>
          </w:tcPr>
          <w:p w14:paraId="3BD94E71"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-9.035</w:t>
            </w:r>
          </w:p>
        </w:tc>
        <w:tc>
          <w:tcPr>
            <w:tcW w:w="483" w:type="pct"/>
            <w:shd w:val="clear" w:color="auto" w:fill="FFFFFF"/>
          </w:tcPr>
          <w:p w14:paraId="1AA32AF5"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395</w:t>
            </w:r>
          </w:p>
        </w:tc>
        <w:tc>
          <w:tcPr>
            <w:tcW w:w="664" w:type="pct"/>
            <w:shd w:val="clear" w:color="auto" w:fill="FFFFFF"/>
          </w:tcPr>
          <w:p w14:paraId="00B3ADAF"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.000</w:t>
            </w:r>
          </w:p>
        </w:tc>
      </w:tr>
      <w:tr w:rsidR="00161788" w:rsidRPr="00450FB4" w14:paraId="6264AB88" w14:textId="77777777" w:rsidTr="000C7E69">
        <w:trPr>
          <w:cantSplit/>
          <w:trHeight w:val="319"/>
        </w:trPr>
        <w:tc>
          <w:tcPr>
            <w:tcW w:w="368" w:type="pct"/>
            <w:shd w:val="clear" w:color="auto" w:fill="E0E0E0"/>
          </w:tcPr>
          <w:p w14:paraId="046966B4"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4</w:t>
            </w:r>
          </w:p>
        </w:tc>
        <w:tc>
          <w:tcPr>
            <w:tcW w:w="1040" w:type="pct"/>
            <w:shd w:val="clear" w:color="auto" w:fill="E0E0E0"/>
          </w:tcPr>
          <w:p w14:paraId="5A95C0BF"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CR_Pre - CR_post</w:t>
            </w:r>
          </w:p>
        </w:tc>
        <w:tc>
          <w:tcPr>
            <w:tcW w:w="591" w:type="pct"/>
            <w:shd w:val="clear" w:color="auto" w:fill="FFFFFF"/>
          </w:tcPr>
          <w:p w14:paraId="3E104E2B"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-.023</w:t>
            </w:r>
          </w:p>
        </w:tc>
        <w:tc>
          <w:tcPr>
            <w:tcW w:w="678" w:type="pct"/>
            <w:shd w:val="clear" w:color="auto" w:fill="FFFFFF"/>
          </w:tcPr>
          <w:p w14:paraId="1293A3A3"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2.158</w:t>
            </w:r>
          </w:p>
        </w:tc>
        <w:tc>
          <w:tcPr>
            <w:tcW w:w="693" w:type="pct"/>
            <w:shd w:val="clear" w:color="auto" w:fill="FFFFFF"/>
          </w:tcPr>
          <w:p w14:paraId="44F959C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.147</w:t>
            </w:r>
          </w:p>
        </w:tc>
        <w:tc>
          <w:tcPr>
            <w:tcW w:w="483" w:type="pct"/>
            <w:shd w:val="clear" w:color="auto" w:fill="FFFFFF"/>
          </w:tcPr>
          <w:p w14:paraId="2CF66F5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-.157</w:t>
            </w:r>
          </w:p>
        </w:tc>
        <w:tc>
          <w:tcPr>
            <w:tcW w:w="483" w:type="pct"/>
            <w:shd w:val="clear" w:color="auto" w:fill="FFFFFF"/>
          </w:tcPr>
          <w:p w14:paraId="051AA8C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213</w:t>
            </w:r>
          </w:p>
        </w:tc>
        <w:tc>
          <w:tcPr>
            <w:tcW w:w="664" w:type="pct"/>
            <w:shd w:val="clear" w:color="auto" w:fill="FFFFFF"/>
          </w:tcPr>
          <w:p w14:paraId="6AC9FFBB"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.875</w:t>
            </w:r>
          </w:p>
        </w:tc>
      </w:tr>
      <w:tr w:rsidR="00161788" w:rsidRPr="00450FB4" w14:paraId="7B4C07A5" w14:textId="77777777" w:rsidTr="000C7E69">
        <w:trPr>
          <w:cantSplit/>
          <w:trHeight w:val="319"/>
        </w:trPr>
        <w:tc>
          <w:tcPr>
            <w:tcW w:w="368" w:type="pct"/>
            <w:shd w:val="clear" w:color="auto" w:fill="E0E0E0"/>
          </w:tcPr>
          <w:p w14:paraId="4B157153"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5</w:t>
            </w:r>
          </w:p>
        </w:tc>
        <w:tc>
          <w:tcPr>
            <w:tcW w:w="1040" w:type="pct"/>
            <w:shd w:val="clear" w:color="auto" w:fill="E0E0E0"/>
          </w:tcPr>
          <w:p w14:paraId="10A94CBB"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FL_Pre - FL_post</w:t>
            </w:r>
          </w:p>
        </w:tc>
        <w:tc>
          <w:tcPr>
            <w:tcW w:w="591" w:type="pct"/>
            <w:shd w:val="clear" w:color="auto" w:fill="FFFFFF"/>
          </w:tcPr>
          <w:p w14:paraId="49F151A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4.803</w:t>
            </w:r>
          </w:p>
        </w:tc>
        <w:tc>
          <w:tcPr>
            <w:tcW w:w="678" w:type="pct"/>
            <w:shd w:val="clear" w:color="auto" w:fill="FFFFFF"/>
          </w:tcPr>
          <w:p w14:paraId="49D6B54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120.629</w:t>
            </w:r>
          </w:p>
        </w:tc>
        <w:tc>
          <w:tcPr>
            <w:tcW w:w="693" w:type="pct"/>
            <w:shd w:val="clear" w:color="auto" w:fill="FFFFFF"/>
          </w:tcPr>
          <w:p w14:paraId="4CF572C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6.402</w:t>
            </w:r>
          </w:p>
        </w:tc>
        <w:tc>
          <w:tcPr>
            <w:tcW w:w="483" w:type="pct"/>
            <w:shd w:val="clear" w:color="auto" w:fill="FFFFFF"/>
          </w:tcPr>
          <w:p w14:paraId="7F414482"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.750</w:t>
            </w:r>
          </w:p>
        </w:tc>
        <w:tc>
          <w:tcPr>
            <w:tcW w:w="483" w:type="pct"/>
            <w:shd w:val="clear" w:color="auto" w:fill="FFFFFF"/>
          </w:tcPr>
          <w:p w14:paraId="05EE37F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354</w:t>
            </w:r>
          </w:p>
        </w:tc>
        <w:tc>
          <w:tcPr>
            <w:tcW w:w="664" w:type="pct"/>
            <w:shd w:val="clear" w:color="auto" w:fill="FFFFFF"/>
          </w:tcPr>
          <w:p w14:paraId="1EE611F8"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.454</w:t>
            </w:r>
          </w:p>
        </w:tc>
      </w:tr>
      <w:tr w:rsidR="00161788" w:rsidRPr="00450FB4" w14:paraId="40DFB46C" w14:textId="77777777" w:rsidTr="000C7E69">
        <w:trPr>
          <w:cantSplit/>
          <w:trHeight w:val="319"/>
        </w:trPr>
        <w:tc>
          <w:tcPr>
            <w:tcW w:w="368" w:type="pct"/>
            <w:tcBorders>
              <w:bottom w:val="single" w:sz="4" w:space="0" w:color="auto"/>
            </w:tcBorders>
            <w:shd w:val="clear" w:color="auto" w:fill="E0E0E0"/>
          </w:tcPr>
          <w:p w14:paraId="2ECE39C2" w14:textId="77777777" w:rsidR="00A95558" w:rsidRPr="00450FB4" w:rsidRDefault="00D67080" w:rsidP="00240B98">
            <w:pPr>
              <w:widowControl/>
              <w:suppressAutoHyphens/>
              <w:adjustRightInd w:val="0"/>
              <w:spacing w:line="276" w:lineRule="auto"/>
              <w:ind w:left="60" w:right="60"/>
              <w:jc w:val="both"/>
              <w:rPr>
                <w:kern w:val="1"/>
                <w:sz w:val="24"/>
                <w:szCs w:val="24"/>
                <w:lang w:eastAsia="ar-SA"/>
              </w:rPr>
            </w:pPr>
            <w:r w:rsidRPr="00450FB4">
              <w:rPr>
                <w:kern w:val="1"/>
                <w:sz w:val="24"/>
                <w:szCs w:val="24"/>
                <w:lang w:eastAsia="ar-SA"/>
              </w:rPr>
              <w:t>Pair 6</w:t>
            </w:r>
          </w:p>
        </w:tc>
        <w:tc>
          <w:tcPr>
            <w:tcW w:w="1040" w:type="pct"/>
            <w:tcBorders>
              <w:bottom w:val="single" w:sz="4" w:space="0" w:color="auto"/>
            </w:tcBorders>
            <w:shd w:val="clear" w:color="auto" w:fill="E0E0E0"/>
          </w:tcPr>
          <w:p w14:paraId="388A81D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L_AS_Pre - L_AS_post</w:t>
            </w:r>
          </w:p>
        </w:tc>
        <w:tc>
          <w:tcPr>
            <w:tcW w:w="591" w:type="pct"/>
            <w:tcBorders>
              <w:bottom w:val="single" w:sz="4" w:space="0" w:color="auto"/>
            </w:tcBorders>
            <w:shd w:val="clear" w:color="auto" w:fill="FFFFFF"/>
          </w:tcPr>
          <w:p w14:paraId="34A4286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-.678</w:t>
            </w:r>
          </w:p>
        </w:tc>
        <w:tc>
          <w:tcPr>
            <w:tcW w:w="678" w:type="pct"/>
            <w:tcBorders>
              <w:bottom w:val="single" w:sz="4" w:space="0" w:color="auto"/>
            </w:tcBorders>
            <w:shd w:val="clear" w:color="auto" w:fill="FFFFFF"/>
          </w:tcPr>
          <w:p w14:paraId="18AF4865"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.976</w:t>
            </w:r>
          </w:p>
        </w:tc>
        <w:tc>
          <w:tcPr>
            <w:tcW w:w="693" w:type="pct"/>
            <w:tcBorders>
              <w:bottom w:val="single" w:sz="4" w:space="0" w:color="auto"/>
            </w:tcBorders>
            <w:shd w:val="clear" w:color="auto" w:fill="FFFFFF"/>
          </w:tcPr>
          <w:p w14:paraId="17791506"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.050</w:t>
            </w:r>
          </w:p>
        </w:tc>
        <w:tc>
          <w:tcPr>
            <w:tcW w:w="483" w:type="pct"/>
            <w:tcBorders>
              <w:bottom w:val="single" w:sz="4" w:space="0" w:color="auto"/>
            </w:tcBorders>
            <w:shd w:val="clear" w:color="auto" w:fill="FFFFFF"/>
          </w:tcPr>
          <w:p w14:paraId="1B2841DA"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-13.433</w:t>
            </w:r>
          </w:p>
        </w:tc>
        <w:tc>
          <w:tcPr>
            <w:tcW w:w="483" w:type="pct"/>
            <w:tcBorders>
              <w:bottom w:val="single" w:sz="4" w:space="0" w:color="auto"/>
            </w:tcBorders>
            <w:shd w:val="clear" w:color="auto" w:fill="FFFFFF"/>
          </w:tcPr>
          <w:p w14:paraId="7273044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373</w:t>
            </w:r>
          </w:p>
        </w:tc>
        <w:tc>
          <w:tcPr>
            <w:tcW w:w="664" w:type="pct"/>
            <w:tcBorders>
              <w:bottom w:val="single" w:sz="4" w:space="0" w:color="auto"/>
            </w:tcBorders>
            <w:shd w:val="clear" w:color="auto" w:fill="FFFFFF"/>
          </w:tcPr>
          <w:p w14:paraId="41785849" w14:textId="77777777" w:rsidR="00A95558" w:rsidRPr="00450FB4" w:rsidRDefault="00D67080" w:rsidP="00240B98">
            <w:pPr>
              <w:widowControl/>
              <w:suppressAutoHyphens/>
              <w:adjustRightInd w:val="0"/>
              <w:spacing w:line="276" w:lineRule="auto"/>
              <w:ind w:left="60" w:right="60"/>
              <w:rPr>
                <w:kern w:val="1"/>
                <w:sz w:val="24"/>
                <w:szCs w:val="24"/>
                <w:lang w:eastAsia="ar-SA"/>
              </w:rPr>
            </w:pPr>
            <w:r w:rsidRPr="00450FB4">
              <w:rPr>
                <w:kern w:val="1"/>
                <w:sz w:val="24"/>
                <w:szCs w:val="24"/>
                <w:lang w:eastAsia="ar-SA"/>
              </w:rPr>
              <w:t>.000</w:t>
            </w:r>
          </w:p>
        </w:tc>
      </w:tr>
    </w:tbl>
    <w:p w14:paraId="61196D26" w14:textId="77777777" w:rsidR="00A95558" w:rsidRPr="00450FB4" w:rsidRDefault="00A95558" w:rsidP="00A95558">
      <w:pPr>
        <w:widowControl/>
        <w:suppressAutoHyphens/>
        <w:autoSpaceDE/>
        <w:autoSpaceDN/>
        <w:spacing w:after="160"/>
        <w:ind w:left="720" w:hanging="720"/>
        <w:jc w:val="both"/>
        <w:rPr>
          <w:b/>
          <w:color w:val="010205"/>
          <w:kern w:val="1"/>
          <w:sz w:val="24"/>
          <w:szCs w:val="24"/>
          <w:lang w:eastAsia="ar-SA"/>
        </w:rPr>
      </w:pPr>
    </w:p>
    <w:p w14:paraId="277D2372" w14:textId="77777777" w:rsidR="00A95558" w:rsidRPr="00450FB4" w:rsidRDefault="00A95558" w:rsidP="00A95558">
      <w:pPr>
        <w:widowControl/>
        <w:suppressAutoHyphens/>
        <w:autoSpaceDE/>
        <w:autoSpaceDN/>
        <w:spacing w:after="160"/>
        <w:jc w:val="both"/>
        <w:rPr>
          <w:color w:val="010205"/>
          <w:kern w:val="1"/>
          <w:sz w:val="24"/>
          <w:szCs w:val="24"/>
          <w:lang w:eastAsia="ar-SA"/>
        </w:rPr>
      </w:pPr>
    </w:p>
    <w:p w14:paraId="06C5A1B0" w14:textId="77777777" w:rsidR="00A95558" w:rsidRPr="00450FB4" w:rsidRDefault="00D67080" w:rsidP="00A95558">
      <w:pPr>
        <w:widowControl/>
        <w:numPr>
          <w:ilvl w:val="1"/>
          <w:numId w:val="18"/>
        </w:numPr>
        <w:shd w:val="clear" w:color="auto" w:fill="FFFFFF"/>
        <w:tabs>
          <w:tab w:val="left" w:pos="10992"/>
          <w:tab w:val="left" w:pos="11908"/>
          <w:tab w:val="left" w:pos="12824"/>
          <w:tab w:val="left" w:pos="13740"/>
          <w:tab w:val="left" w:pos="14656"/>
        </w:tabs>
        <w:suppressAutoHyphens/>
        <w:autoSpaceDE/>
        <w:autoSpaceDN/>
        <w:spacing w:after="160" w:line="480" w:lineRule="auto"/>
        <w:ind w:left="360"/>
        <w:jc w:val="both"/>
        <w:rPr>
          <w:b/>
          <w:bCs/>
          <w:i/>
          <w:iCs/>
          <w:color w:val="000000"/>
          <w:kern w:val="1"/>
          <w:sz w:val="24"/>
          <w:szCs w:val="24"/>
          <w:lang w:eastAsia="ar-SA"/>
        </w:rPr>
      </w:pPr>
      <w:r w:rsidRPr="00450FB4">
        <w:rPr>
          <w:b/>
          <w:i/>
          <w:iCs/>
          <w:color w:val="010205"/>
          <w:kern w:val="1"/>
          <w:sz w:val="24"/>
          <w:szCs w:val="24"/>
          <w:lang w:eastAsia="ar-SA"/>
        </w:rPr>
        <w:t>Multi Regression Analysis</w:t>
      </w:r>
    </w:p>
    <w:p w14:paraId="66D8852C" w14:textId="77777777" w:rsidR="00A95558" w:rsidRPr="00450FB4" w:rsidRDefault="00D67080" w:rsidP="00240B98">
      <w:pPr>
        <w:widowControl/>
        <w:numPr>
          <w:ilvl w:val="2"/>
          <w:numId w:val="18"/>
        </w:numPr>
        <w:shd w:val="clear" w:color="auto" w:fill="FFFFFF"/>
        <w:tabs>
          <w:tab w:val="left" w:pos="10992"/>
          <w:tab w:val="left" w:pos="11908"/>
          <w:tab w:val="left" w:pos="12824"/>
          <w:tab w:val="left" w:pos="13740"/>
          <w:tab w:val="left" w:pos="14656"/>
        </w:tabs>
        <w:suppressAutoHyphens/>
        <w:autoSpaceDE/>
        <w:autoSpaceDN/>
        <w:spacing w:after="160"/>
        <w:ind w:left="540" w:hanging="540"/>
        <w:jc w:val="both"/>
        <w:rPr>
          <w:i/>
          <w:iCs/>
          <w:color w:val="000000"/>
          <w:kern w:val="1"/>
          <w:sz w:val="24"/>
          <w:szCs w:val="24"/>
          <w:lang w:eastAsia="ar-SA"/>
        </w:rPr>
      </w:pPr>
      <w:bookmarkStart w:id="23" w:name="_Hlk173060685"/>
      <w:r w:rsidRPr="00450FB4">
        <w:rPr>
          <w:i/>
          <w:iCs/>
          <w:color w:val="000000"/>
          <w:kern w:val="1"/>
          <w:sz w:val="24"/>
          <w:szCs w:val="24"/>
          <w:lang w:eastAsia="ar-SA"/>
        </w:rPr>
        <w:t xml:space="preserve">Impact of Mergers and Acquisitions on Financial Performance Metrics of Acquiring Firms in India based on </w:t>
      </w:r>
      <w:bookmarkStart w:id="24" w:name="_Hlk173060531"/>
      <w:r w:rsidRPr="00450FB4">
        <w:rPr>
          <w:i/>
          <w:iCs/>
          <w:color w:val="000000"/>
          <w:kern w:val="1"/>
          <w:sz w:val="24"/>
          <w:szCs w:val="24"/>
          <w:lang w:eastAsia="ar-SA"/>
        </w:rPr>
        <w:t>One-way (individual) effect One-step model Difference GMM</w:t>
      </w:r>
    </w:p>
    <w:bookmarkEnd w:id="23"/>
    <w:bookmarkEnd w:id="24"/>
    <w:p w14:paraId="1B79D795" w14:textId="77777777" w:rsidR="00A95558" w:rsidRPr="00450FB4" w:rsidRDefault="00A95558" w:rsidP="00A95558">
      <w:pPr>
        <w:widowControl/>
        <w:tabs>
          <w:tab w:val="left" w:pos="284"/>
        </w:tabs>
        <w:suppressAutoHyphens/>
        <w:autoSpaceDE/>
        <w:autoSpaceDN/>
        <w:jc w:val="both"/>
        <w:rPr>
          <w:color w:val="010205"/>
          <w:kern w:val="1"/>
          <w:sz w:val="24"/>
          <w:szCs w:val="24"/>
          <w:lang w:eastAsia="ar-SA"/>
        </w:rPr>
      </w:pPr>
    </w:p>
    <w:p w14:paraId="2C502681" w14:textId="77777777" w:rsidR="00A95558" w:rsidRPr="00450FB4" w:rsidRDefault="00D67080" w:rsidP="00A95558">
      <w:pPr>
        <w:widowControl/>
        <w:tabs>
          <w:tab w:val="left" w:pos="284"/>
        </w:tabs>
        <w:suppressAutoHyphens/>
        <w:autoSpaceDE/>
        <w:autoSpaceDN/>
        <w:jc w:val="both"/>
        <w:rPr>
          <w:color w:val="000000"/>
          <w:kern w:val="1"/>
          <w:sz w:val="24"/>
          <w:szCs w:val="24"/>
          <w:lang w:eastAsia="ar-SA"/>
        </w:rPr>
      </w:pPr>
      <w:r w:rsidRPr="00450FB4">
        <w:rPr>
          <w:color w:val="010205"/>
          <w:kern w:val="1"/>
          <w:sz w:val="24"/>
          <w:szCs w:val="24"/>
          <w:lang w:eastAsia="ar-SA"/>
        </w:rPr>
        <w:t>The multi-regression analysis based on the One-way (individual) effect One-step model difference GMM gives the following results, as elaborated in Table 6.</w:t>
      </w:r>
      <w:r w:rsidRPr="00450FB4">
        <w:rPr>
          <w:color w:val="000000"/>
          <w:kern w:val="1"/>
          <w:sz w:val="24"/>
          <w:szCs w:val="24"/>
          <w:lang w:eastAsia="ar-SA"/>
        </w:rPr>
        <w:t xml:space="preserve"> The table presents the results of the One-way (individual) effect one-step model difference GMM regression analysis, examining the impact of mergers and acquisitions (M&amp;A) between fintech firms and acquiring firms on various financial performance metrics of the acquiring firms in India.</w:t>
      </w:r>
    </w:p>
    <w:p w14:paraId="19E1DF42" w14:textId="77777777" w:rsidR="00A95558" w:rsidRPr="00450FB4" w:rsidRDefault="00D67080" w:rsidP="00A95558">
      <w:pPr>
        <w:widowControl/>
        <w:suppressAutoHyphens/>
        <w:autoSpaceDE/>
        <w:autoSpaceDN/>
        <w:spacing w:before="240"/>
        <w:jc w:val="both"/>
        <w:rPr>
          <w:b/>
          <w:iCs/>
          <w:color w:val="000000"/>
          <w:kern w:val="1"/>
          <w:sz w:val="24"/>
          <w:szCs w:val="24"/>
          <w:lang w:eastAsia="ar-SA"/>
        </w:rPr>
      </w:pPr>
      <w:r w:rsidRPr="00450FB4">
        <w:rPr>
          <w:b/>
          <w:iCs/>
          <w:color w:val="000000"/>
          <w:kern w:val="1"/>
          <w:sz w:val="24"/>
          <w:szCs w:val="24"/>
          <w:lang w:eastAsia="ar-SA"/>
        </w:rPr>
        <w:t>Model 1: Operating performance</w:t>
      </w:r>
    </w:p>
    <w:p w14:paraId="093EA9E4"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
          <w:bCs/>
          <w:color w:val="000000"/>
          <w:kern w:val="1"/>
          <w:sz w:val="24"/>
          <w:szCs w:val="24"/>
          <w:lang w:eastAsia="ar-SA"/>
        </w:rPr>
        <w:t>Hypothesis 1</w:t>
      </w:r>
      <w:r w:rsidRPr="00450FB4">
        <w:rPr>
          <w:color w:val="000000"/>
          <w:kern w:val="1"/>
          <w:sz w:val="24"/>
          <w:szCs w:val="24"/>
          <w:lang w:eastAsia="ar-SA"/>
        </w:rPr>
        <w:t>: M&amp;A between fintech and the acquiring firms ha</w:t>
      </w:r>
      <w:r w:rsidR="00240B98" w:rsidRPr="00450FB4">
        <w:rPr>
          <w:color w:val="000000"/>
          <w:kern w:val="1"/>
          <w:sz w:val="24"/>
          <w:szCs w:val="24"/>
          <w:lang w:eastAsia="ar-SA"/>
        </w:rPr>
        <w:t>s</w:t>
      </w:r>
      <w:r w:rsidRPr="00450FB4">
        <w:rPr>
          <w:color w:val="000000"/>
          <w:kern w:val="1"/>
          <w:sz w:val="24"/>
          <w:szCs w:val="24"/>
          <w:lang w:eastAsia="ar-SA"/>
        </w:rPr>
        <w:t xml:space="preserve"> a significantly positive impact on the operating performance of acquirers in India.</w:t>
      </w:r>
    </w:p>
    <w:p w14:paraId="44084B2C" w14:textId="77777777" w:rsidR="00A95558" w:rsidRPr="00450FB4" w:rsidRDefault="00A95558" w:rsidP="00A95558">
      <w:pPr>
        <w:widowControl/>
        <w:suppressAutoHyphens/>
        <w:autoSpaceDE/>
        <w:autoSpaceDN/>
        <w:jc w:val="both"/>
        <w:rPr>
          <w:color w:val="000000"/>
          <w:kern w:val="1"/>
          <w:sz w:val="24"/>
          <w:szCs w:val="24"/>
          <w:lang w:eastAsia="ar-SA"/>
        </w:rPr>
      </w:pPr>
    </w:p>
    <w:p w14:paraId="0D38AB6F"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Hypotheses 1 a. M&amp;As between fintech and the acquiring firms have a significantly positive impact on the return on assets (ROA) of acquirers in India.</w:t>
      </w:r>
    </w:p>
    <w:p w14:paraId="521569A3"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lastRenderedPageBreak/>
        <w:t xml:space="preserve">The variables in the study were; </w:t>
      </w:r>
    </w:p>
    <w:p w14:paraId="1A82616B"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Dependent variable: ROA</w:t>
      </w:r>
    </w:p>
    <w:p w14:paraId="16DFF920" w14:textId="77777777" w:rsidR="00A95558" w:rsidRPr="00450FB4" w:rsidRDefault="00D67080" w:rsidP="00A95558">
      <w:pPr>
        <w:widowControl/>
        <w:suppressAutoHyphens/>
        <w:autoSpaceDE/>
        <w:autoSpaceDN/>
        <w:spacing w:after="160"/>
        <w:jc w:val="both"/>
        <w:rPr>
          <w:rFonts w:eastAsia="Calibri"/>
          <w:kern w:val="1"/>
          <w:sz w:val="24"/>
          <w:szCs w:val="24"/>
          <w:lang w:eastAsia="ar-SA"/>
        </w:rPr>
      </w:pPr>
      <w:r w:rsidRPr="00450FB4">
        <w:rPr>
          <w:rFonts w:eastAsia="Calibri"/>
          <w:kern w:val="1"/>
          <w:sz w:val="24"/>
          <w:szCs w:val="24"/>
          <w:lang w:eastAsia="ar-SA"/>
        </w:rPr>
        <w:t xml:space="preserve">Independent variable: NPM, FL, AS, </w:t>
      </w:r>
    </w:p>
    <w:p w14:paraId="2964FD65"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The regression equation comes as:</w:t>
      </w:r>
    </w:p>
    <w:p w14:paraId="2259CB15"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ROA = </w:t>
      </w:r>
      <w:bookmarkStart w:id="25" w:name="_Hlk173085855"/>
      <w:r w:rsidRPr="00450FB4">
        <w:rPr>
          <w:color w:val="000000"/>
          <w:kern w:val="1"/>
          <w:sz w:val="24"/>
          <w:szCs w:val="24"/>
          <w:lang w:eastAsia="ar-SA"/>
        </w:rPr>
        <w:t>β</w:t>
      </w:r>
      <w:r w:rsidRPr="00450FB4">
        <w:rPr>
          <w:color w:val="000000"/>
          <w:kern w:val="1"/>
          <w:sz w:val="24"/>
          <w:szCs w:val="24"/>
          <w:vertAlign w:val="subscript"/>
          <w:lang w:eastAsia="ar-SA"/>
        </w:rPr>
        <w:t>0</w:t>
      </w:r>
      <w:bookmarkEnd w:id="25"/>
      <w:r w:rsidRPr="00450FB4">
        <w:rPr>
          <w:color w:val="000000"/>
          <w:kern w:val="1"/>
          <w:sz w:val="24"/>
          <w:szCs w:val="24"/>
          <w:vertAlign w:val="subscript"/>
          <w:lang w:eastAsia="ar-SA"/>
        </w:rPr>
        <w:t xml:space="preserve"> </w:t>
      </w:r>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NPM + β</w:t>
      </w:r>
      <w:r w:rsidRPr="00450FB4">
        <w:rPr>
          <w:color w:val="000000"/>
          <w:kern w:val="1"/>
          <w:sz w:val="24"/>
          <w:szCs w:val="24"/>
          <w:vertAlign w:val="subscript"/>
          <w:lang w:eastAsia="ar-SA"/>
        </w:rPr>
        <w:t>2</w:t>
      </w:r>
      <w:r w:rsidRPr="00450FB4">
        <w:rPr>
          <w:color w:val="000000"/>
          <w:kern w:val="1"/>
          <w:sz w:val="24"/>
          <w:szCs w:val="24"/>
          <w:lang w:eastAsia="ar-SA"/>
        </w:rPr>
        <w:t xml:space="preserve"> FL + β</w:t>
      </w:r>
      <w:r w:rsidRPr="00450FB4">
        <w:rPr>
          <w:color w:val="000000"/>
          <w:kern w:val="1"/>
          <w:sz w:val="24"/>
          <w:szCs w:val="24"/>
          <w:vertAlign w:val="subscript"/>
          <w:lang w:eastAsia="ar-SA"/>
        </w:rPr>
        <w:t>3</w:t>
      </w:r>
      <w:r w:rsidRPr="00450FB4">
        <w:rPr>
          <w:color w:val="000000"/>
          <w:kern w:val="1"/>
          <w:sz w:val="24"/>
          <w:szCs w:val="24"/>
          <w:lang w:eastAsia="ar-SA"/>
        </w:rPr>
        <w:t xml:space="preserve"> AS + ε</w:t>
      </w:r>
    </w:p>
    <w:p w14:paraId="69D0B1BA"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ROA = β</w:t>
      </w:r>
      <w:r w:rsidRPr="00450FB4">
        <w:rPr>
          <w:color w:val="000000"/>
          <w:kern w:val="1"/>
          <w:sz w:val="24"/>
          <w:szCs w:val="24"/>
          <w:vertAlign w:val="subscript"/>
          <w:lang w:eastAsia="ar-SA"/>
        </w:rPr>
        <w:t xml:space="preserve">0 </w:t>
      </w:r>
      <w:r w:rsidRPr="00450FB4">
        <w:rPr>
          <w:color w:val="000000"/>
          <w:kern w:val="1"/>
          <w:sz w:val="24"/>
          <w:szCs w:val="24"/>
          <w:lang w:eastAsia="ar-SA"/>
        </w:rPr>
        <w:t>- 1.26 Merger + 0.31 NPM – 0.002 FL – 0.59 log-AS + ε</w:t>
      </w:r>
    </w:p>
    <w:p w14:paraId="063F2941" w14:textId="77777777" w:rsidR="00A95558" w:rsidRPr="00450FB4" w:rsidRDefault="00D67080" w:rsidP="00A95558">
      <w:pPr>
        <w:widowControl/>
        <w:suppressAutoHyphens/>
        <w:autoSpaceDE/>
        <w:autoSpaceDN/>
        <w:jc w:val="both"/>
        <w:rPr>
          <w:b/>
          <w:iCs/>
          <w:color w:val="000000"/>
          <w:kern w:val="1"/>
          <w:sz w:val="24"/>
          <w:szCs w:val="24"/>
          <w:lang w:eastAsia="ar-SA"/>
        </w:rPr>
      </w:pPr>
      <w:bookmarkStart w:id="26" w:name="_Hlk173086201"/>
      <w:r w:rsidRPr="00450FB4">
        <w:rPr>
          <w:color w:val="000000"/>
          <w:kern w:val="1"/>
          <w:sz w:val="24"/>
          <w:szCs w:val="24"/>
          <w:lang w:eastAsia="ar-SA"/>
        </w:rPr>
        <w:t>Based on the analysis, both NPM and FL are significant at a p-value of 0.00, while AS is not significant. Also, the p-value of the Merger is 0.076 with a coefficient of -1.26.  Based on the analysis, ROA is negatively impacted by merger and also the hypothesis is not accepted.</w:t>
      </w:r>
    </w:p>
    <w:bookmarkEnd w:id="26"/>
    <w:p w14:paraId="401E5FAE" w14:textId="77777777" w:rsidR="00A95558" w:rsidRPr="00450FB4" w:rsidRDefault="00D67080" w:rsidP="00A95558">
      <w:pPr>
        <w:widowControl/>
        <w:suppressAutoHyphens/>
        <w:autoSpaceDE/>
        <w:autoSpaceDN/>
        <w:spacing w:before="240"/>
        <w:jc w:val="both"/>
        <w:rPr>
          <w:b/>
          <w:bCs/>
          <w:color w:val="000000"/>
          <w:kern w:val="1"/>
          <w:sz w:val="24"/>
          <w:szCs w:val="24"/>
          <w:lang w:eastAsia="ar-SA"/>
        </w:rPr>
      </w:pPr>
      <w:r w:rsidRPr="00450FB4">
        <w:rPr>
          <w:b/>
          <w:iCs/>
          <w:color w:val="000000"/>
          <w:kern w:val="1"/>
          <w:sz w:val="24"/>
          <w:szCs w:val="24"/>
          <w:lang w:eastAsia="ar-SA"/>
        </w:rPr>
        <w:t>Model 2: Operating performance</w:t>
      </w:r>
    </w:p>
    <w:p w14:paraId="68497179"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
          <w:bCs/>
          <w:color w:val="000000"/>
          <w:kern w:val="1"/>
          <w:sz w:val="24"/>
          <w:szCs w:val="24"/>
          <w:lang w:eastAsia="ar-SA"/>
        </w:rPr>
        <w:t>Hypothesis 1</w:t>
      </w:r>
      <w:r w:rsidRPr="00450FB4">
        <w:rPr>
          <w:color w:val="000000"/>
          <w:kern w:val="1"/>
          <w:sz w:val="24"/>
          <w:szCs w:val="24"/>
          <w:lang w:eastAsia="ar-SA"/>
        </w:rPr>
        <w:t>: M&amp;As between fintech and acquiring firms have a significantly positive impact on the operating performance of acquirers in India.</w:t>
      </w:r>
    </w:p>
    <w:p w14:paraId="649311EF" w14:textId="77777777" w:rsidR="00A95558" w:rsidRPr="00450FB4" w:rsidRDefault="00A95558" w:rsidP="00A95558">
      <w:pPr>
        <w:widowControl/>
        <w:suppressAutoHyphens/>
        <w:autoSpaceDE/>
        <w:autoSpaceDN/>
        <w:jc w:val="both"/>
        <w:rPr>
          <w:color w:val="000000"/>
          <w:kern w:val="1"/>
          <w:sz w:val="24"/>
          <w:szCs w:val="24"/>
          <w:lang w:eastAsia="ar-SA"/>
        </w:rPr>
      </w:pPr>
    </w:p>
    <w:p w14:paraId="7923FC00"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Hypotheses 1 b. M&amp;As between fintech and the acquiring firms have a significantly positive impact on the net profit margin (NPM) of acquirers in India.</w:t>
      </w:r>
    </w:p>
    <w:p w14:paraId="748787B4"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variables in the study were; </w:t>
      </w:r>
    </w:p>
    <w:p w14:paraId="0E6E0066"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Dependent variable: NPM</w:t>
      </w:r>
    </w:p>
    <w:p w14:paraId="2D121436"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Independent variable: Merger, FL, AS, </w:t>
      </w:r>
    </w:p>
    <w:p w14:paraId="299E1636"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NPM = </w:t>
      </w:r>
      <w:bookmarkStart w:id="27" w:name="_Hlk173086123"/>
      <w:r w:rsidRPr="00450FB4">
        <w:rPr>
          <w:color w:val="000000"/>
          <w:kern w:val="1"/>
          <w:sz w:val="24"/>
          <w:szCs w:val="24"/>
          <w:lang w:eastAsia="ar-SA"/>
        </w:rPr>
        <w:t>β</w:t>
      </w:r>
      <w:r w:rsidRPr="00450FB4">
        <w:rPr>
          <w:color w:val="000000"/>
          <w:kern w:val="1"/>
          <w:sz w:val="24"/>
          <w:szCs w:val="24"/>
          <w:vertAlign w:val="subscript"/>
          <w:lang w:eastAsia="ar-SA"/>
        </w:rPr>
        <w:t>0</w:t>
      </w:r>
      <w:r w:rsidRPr="00450FB4">
        <w:rPr>
          <w:color w:val="000000"/>
          <w:kern w:val="1"/>
          <w:sz w:val="24"/>
          <w:szCs w:val="24"/>
          <w:lang w:eastAsia="ar-SA"/>
        </w:rPr>
        <w:t xml:space="preserve"> </w:t>
      </w:r>
      <w:bookmarkEnd w:id="27"/>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FL + β</w:t>
      </w:r>
      <w:r w:rsidRPr="00450FB4">
        <w:rPr>
          <w:color w:val="000000"/>
          <w:kern w:val="1"/>
          <w:sz w:val="24"/>
          <w:szCs w:val="24"/>
          <w:vertAlign w:val="subscript"/>
          <w:lang w:eastAsia="ar-SA"/>
        </w:rPr>
        <w:t xml:space="preserve">2 </w:t>
      </w:r>
      <w:r w:rsidRPr="00450FB4">
        <w:rPr>
          <w:color w:val="000000"/>
          <w:kern w:val="1"/>
          <w:sz w:val="24"/>
          <w:szCs w:val="24"/>
          <w:lang w:eastAsia="ar-SA"/>
        </w:rPr>
        <w:t>AS + ε</w:t>
      </w:r>
    </w:p>
    <w:p w14:paraId="30C6F11B"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NPM = β</w:t>
      </w:r>
      <w:r w:rsidRPr="00450FB4">
        <w:rPr>
          <w:color w:val="000000"/>
          <w:kern w:val="1"/>
          <w:sz w:val="24"/>
          <w:szCs w:val="24"/>
          <w:vertAlign w:val="subscript"/>
          <w:lang w:eastAsia="ar-SA"/>
        </w:rPr>
        <w:t>0</w:t>
      </w:r>
      <w:r w:rsidRPr="00450FB4">
        <w:rPr>
          <w:color w:val="000000"/>
          <w:kern w:val="1"/>
          <w:sz w:val="24"/>
          <w:szCs w:val="24"/>
          <w:lang w:eastAsia="ar-SA"/>
        </w:rPr>
        <w:t xml:space="preserve"> – 6.63 Merger - 0.004 FL + 10.09 log AS + ε</w:t>
      </w:r>
    </w:p>
    <w:p w14:paraId="5B1C6A54" w14:textId="77777777" w:rsidR="00A95558" w:rsidRPr="00450FB4" w:rsidRDefault="00D67080" w:rsidP="00A95558">
      <w:pPr>
        <w:widowControl/>
        <w:suppressAutoHyphens/>
        <w:autoSpaceDE/>
        <w:autoSpaceDN/>
        <w:jc w:val="both"/>
        <w:rPr>
          <w:b/>
          <w:iCs/>
          <w:color w:val="000000"/>
          <w:kern w:val="1"/>
          <w:sz w:val="24"/>
          <w:szCs w:val="24"/>
          <w:lang w:eastAsia="ar-SA"/>
        </w:rPr>
      </w:pPr>
      <w:r w:rsidRPr="00450FB4">
        <w:rPr>
          <w:color w:val="000000"/>
          <w:kern w:val="1"/>
          <w:sz w:val="24"/>
          <w:szCs w:val="24"/>
          <w:lang w:eastAsia="ar-SA"/>
        </w:rPr>
        <w:t>Based on the analysis, NPM is negatively impacted by the merger, and the hypothesis is not accepted.</w:t>
      </w:r>
    </w:p>
    <w:p w14:paraId="6C280A54" w14:textId="77777777" w:rsidR="00A95558" w:rsidRPr="00450FB4" w:rsidRDefault="00A95558" w:rsidP="00A95558">
      <w:pPr>
        <w:widowControl/>
        <w:suppressAutoHyphens/>
        <w:autoSpaceDE/>
        <w:autoSpaceDN/>
        <w:jc w:val="both"/>
        <w:rPr>
          <w:color w:val="000000"/>
          <w:kern w:val="1"/>
          <w:sz w:val="24"/>
          <w:szCs w:val="24"/>
          <w:lang w:eastAsia="ar-SA"/>
        </w:rPr>
      </w:pPr>
    </w:p>
    <w:p w14:paraId="57213558" w14:textId="77777777" w:rsidR="00A95558" w:rsidRPr="00450FB4" w:rsidRDefault="00D67080" w:rsidP="00A95558">
      <w:pPr>
        <w:widowControl/>
        <w:suppressAutoHyphens/>
        <w:autoSpaceDE/>
        <w:autoSpaceDN/>
        <w:jc w:val="both"/>
        <w:rPr>
          <w:b/>
          <w:bCs/>
          <w:color w:val="000000"/>
          <w:kern w:val="1"/>
          <w:sz w:val="24"/>
          <w:szCs w:val="24"/>
          <w:lang w:eastAsia="ar-SA"/>
        </w:rPr>
      </w:pPr>
      <w:r w:rsidRPr="00450FB4">
        <w:rPr>
          <w:b/>
          <w:color w:val="000000"/>
          <w:kern w:val="1"/>
          <w:sz w:val="24"/>
          <w:szCs w:val="24"/>
          <w:lang w:eastAsia="ar-SA"/>
        </w:rPr>
        <w:t>Model 3: Market-based performance</w:t>
      </w:r>
    </w:p>
    <w:p w14:paraId="3008627D"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
          <w:bCs/>
          <w:color w:val="000000"/>
          <w:kern w:val="1"/>
          <w:sz w:val="24"/>
          <w:szCs w:val="24"/>
          <w:lang w:eastAsia="ar-SA"/>
        </w:rPr>
        <w:t>Hypothesis 2:</w:t>
      </w:r>
      <w:r w:rsidRPr="00450FB4">
        <w:rPr>
          <w:color w:val="000000"/>
          <w:kern w:val="1"/>
          <w:sz w:val="24"/>
          <w:szCs w:val="24"/>
          <w:lang w:eastAsia="ar-SA"/>
        </w:rPr>
        <w:t xml:space="preserve"> M&amp;As between fintech and the acquiring firms have a significantly positive impact on the market performance of acquirers in India</w:t>
      </w:r>
    </w:p>
    <w:p w14:paraId="4CB71001"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variables in the study were; </w:t>
      </w:r>
    </w:p>
    <w:p w14:paraId="25EDD1DA"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Dependent variable: ASP</w:t>
      </w:r>
    </w:p>
    <w:p w14:paraId="2F9869B8"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Independent variable: Merger, NPM, CR, FL, AS, </w:t>
      </w:r>
    </w:p>
    <w:p w14:paraId="051C834D"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ASP = </w:t>
      </w:r>
      <w:bookmarkStart w:id="28" w:name="_Hlk173086348"/>
      <w:r w:rsidRPr="00450FB4">
        <w:rPr>
          <w:color w:val="000000"/>
          <w:kern w:val="1"/>
          <w:sz w:val="24"/>
          <w:szCs w:val="24"/>
          <w:lang w:eastAsia="ar-SA"/>
        </w:rPr>
        <w:t>β</w:t>
      </w:r>
      <w:r w:rsidRPr="00450FB4">
        <w:rPr>
          <w:color w:val="000000"/>
          <w:kern w:val="1"/>
          <w:sz w:val="24"/>
          <w:szCs w:val="24"/>
          <w:vertAlign w:val="subscript"/>
          <w:lang w:eastAsia="ar-SA"/>
        </w:rPr>
        <w:t>0</w:t>
      </w:r>
      <w:bookmarkEnd w:id="28"/>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NPM + β</w:t>
      </w:r>
      <w:r w:rsidRPr="00450FB4">
        <w:rPr>
          <w:color w:val="000000"/>
          <w:kern w:val="1"/>
          <w:sz w:val="24"/>
          <w:szCs w:val="24"/>
          <w:vertAlign w:val="subscript"/>
          <w:lang w:eastAsia="ar-SA"/>
        </w:rPr>
        <w:t>2</w:t>
      </w:r>
      <w:r w:rsidRPr="00450FB4">
        <w:rPr>
          <w:color w:val="000000"/>
          <w:kern w:val="1"/>
          <w:sz w:val="24"/>
          <w:szCs w:val="24"/>
          <w:lang w:eastAsia="ar-SA"/>
        </w:rPr>
        <w:t xml:space="preserve"> FL + β</w:t>
      </w:r>
      <w:r w:rsidRPr="00450FB4">
        <w:rPr>
          <w:color w:val="000000"/>
          <w:kern w:val="1"/>
          <w:sz w:val="24"/>
          <w:szCs w:val="24"/>
          <w:vertAlign w:val="subscript"/>
          <w:lang w:eastAsia="ar-SA"/>
        </w:rPr>
        <w:t>3</w:t>
      </w:r>
      <w:r w:rsidRPr="00450FB4">
        <w:rPr>
          <w:color w:val="000000"/>
          <w:kern w:val="1"/>
          <w:sz w:val="24"/>
          <w:szCs w:val="24"/>
          <w:lang w:eastAsia="ar-SA"/>
        </w:rPr>
        <w:t xml:space="preserve"> CR + β</w:t>
      </w:r>
      <w:r w:rsidRPr="00450FB4">
        <w:rPr>
          <w:color w:val="000000"/>
          <w:kern w:val="1"/>
          <w:sz w:val="24"/>
          <w:szCs w:val="24"/>
          <w:vertAlign w:val="subscript"/>
          <w:lang w:eastAsia="ar-SA"/>
        </w:rPr>
        <w:t>4</w:t>
      </w:r>
      <w:r w:rsidRPr="00450FB4">
        <w:rPr>
          <w:color w:val="000000"/>
          <w:kern w:val="1"/>
          <w:sz w:val="24"/>
          <w:szCs w:val="24"/>
          <w:lang w:eastAsia="ar-SA"/>
        </w:rPr>
        <w:t xml:space="preserve"> AS + ε</w:t>
      </w:r>
    </w:p>
    <w:p w14:paraId="31E5D114"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ASP = β</w:t>
      </w:r>
      <w:r w:rsidRPr="00450FB4">
        <w:rPr>
          <w:color w:val="000000"/>
          <w:kern w:val="1"/>
          <w:sz w:val="24"/>
          <w:szCs w:val="24"/>
          <w:vertAlign w:val="subscript"/>
          <w:lang w:eastAsia="ar-SA"/>
        </w:rPr>
        <w:t>0</w:t>
      </w:r>
      <w:r w:rsidRPr="00450FB4">
        <w:rPr>
          <w:color w:val="000000"/>
          <w:kern w:val="1"/>
          <w:sz w:val="24"/>
          <w:szCs w:val="24"/>
          <w:lang w:eastAsia="ar-SA"/>
        </w:rPr>
        <w:t xml:space="preserve"> + 144.65 Merger + 2.35 NPM +10.659 CR – 0.09 FL + 505.69 log AS + ε</w:t>
      </w:r>
    </w:p>
    <w:p w14:paraId="5892B745" w14:textId="77777777" w:rsidR="00A95558" w:rsidRPr="00450FB4" w:rsidRDefault="00A95558" w:rsidP="00A95558">
      <w:pPr>
        <w:widowControl/>
        <w:suppressAutoHyphens/>
        <w:autoSpaceDE/>
        <w:autoSpaceDN/>
        <w:jc w:val="both"/>
        <w:rPr>
          <w:color w:val="000000"/>
          <w:kern w:val="1"/>
          <w:sz w:val="24"/>
          <w:szCs w:val="24"/>
          <w:lang w:eastAsia="ar-SA"/>
        </w:rPr>
      </w:pPr>
    </w:p>
    <w:p w14:paraId="0F8DA517"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p-value of the Merger is 0.00, with a coefficient of 144.65, and hence the hypothesis is accepted. Further, the high coefficient indicates, the high correlation between merger and ASP, which is evident from the results. The ASP has increased from INR 346.87 to INR 652.69 in the post-merger stage. Based </w:t>
      </w:r>
      <w:r w:rsidRPr="00450FB4">
        <w:rPr>
          <w:color w:val="000000"/>
          <w:kern w:val="1"/>
          <w:sz w:val="24"/>
          <w:szCs w:val="24"/>
          <w:lang w:eastAsia="ar-SA"/>
        </w:rPr>
        <w:lastRenderedPageBreak/>
        <w:t>on the analysis, the FL &amp; AS are significant, whereas NPM &amp; CR are not significant.</w:t>
      </w:r>
    </w:p>
    <w:p w14:paraId="480320B9" w14:textId="77777777" w:rsidR="00A95558" w:rsidRPr="00450FB4" w:rsidRDefault="00A95558" w:rsidP="00A95558">
      <w:pPr>
        <w:widowControl/>
        <w:suppressAutoHyphens/>
        <w:autoSpaceDE/>
        <w:autoSpaceDN/>
        <w:jc w:val="both"/>
        <w:rPr>
          <w:b/>
          <w:color w:val="000000"/>
          <w:kern w:val="1"/>
          <w:sz w:val="24"/>
          <w:szCs w:val="24"/>
          <w:lang w:eastAsia="ar-SA"/>
        </w:rPr>
      </w:pPr>
    </w:p>
    <w:p w14:paraId="3B0B29FB" w14:textId="77777777" w:rsidR="00A95558" w:rsidRPr="00450FB4" w:rsidRDefault="00D67080" w:rsidP="00A95558">
      <w:pPr>
        <w:widowControl/>
        <w:suppressAutoHyphens/>
        <w:autoSpaceDE/>
        <w:autoSpaceDN/>
        <w:jc w:val="both"/>
        <w:rPr>
          <w:b/>
          <w:bCs/>
          <w:color w:val="000000"/>
          <w:kern w:val="1"/>
          <w:sz w:val="24"/>
          <w:szCs w:val="24"/>
          <w:lang w:eastAsia="ar-SA"/>
        </w:rPr>
      </w:pPr>
      <w:r w:rsidRPr="00450FB4">
        <w:rPr>
          <w:b/>
          <w:color w:val="000000"/>
          <w:kern w:val="1"/>
          <w:sz w:val="24"/>
          <w:szCs w:val="24"/>
          <w:lang w:eastAsia="ar-SA"/>
        </w:rPr>
        <w:t>Model 4: Liquidity</w:t>
      </w:r>
    </w:p>
    <w:p w14:paraId="365654AE"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
          <w:bCs/>
          <w:color w:val="000000"/>
          <w:kern w:val="1"/>
          <w:sz w:val="24"/>
          <w:szCs w:val="24"/>
          <w:lang w:eastAsia="ar-SA"/>
        </w:rPr>
        <w:t>Hypothesis 3:</w:t>
      </w:r>
      <w:r w:rsidRPr="00450FB4">
        <w:rPr>
          <w:color w:val="000000"/>
          <w:kern w:val="1"/>
          <w:sz w:val="24"/>
          <w:szCs w:val="24"/>
          <w:lang w:eastAsia="ar-SA"/>
        </w:rPr>
        <w:t xml:space="preserve"> M&amp;As between fintech and acquiring firms have a significantly positive impact on the liquidity of acquirers in India.</w:t>
      </w:r>
    </w:p>
    <w:p w14:paraId="28FB7087"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variables in the study were; </w:t>
      </w:r>
    </w:p>
    <w:p w14:paraId="5118B24D"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Dependent variable: CR</w:t>
      </w:r>
    </w:p>
    <w:p w14:paraId="3B7D03D9"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Independent variable: Merger, FL, AS, </w:t>
      </w:r>
    </w:p>
    <w:p w14:paraId="4609676F"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CR = </w:t>
      </w:r>
      <w:bookmarkStart w:id="29" w:name="_Hlk173086488"/>
      <w:r w:rsidRPr="00450FB4">
        <w:rPr>
          <w:color w:val="000000"/>
          <w:kern w:val="1"/>
          <w:sz w:val="24"/>
          <w:szCs w:val="24"/>
          <w:lang w:eastAsia="ar-SA"/>
        </w:rPr>
        <w:t>β</w:t>
      </w:r>
      <w:r w:rsidRPr="00450FB4">
        <w:rPr>
          <w:color w:val="000000"/>
          <w:kern w:val="1"/>
          <w:sz w:val="24"/>
          <w:szCs w:val="24"/>
          <w:vertAlign w:val="subscript"/>
          <w:lang w:eastAsia="ar-SA"/>
        </w:rPr>
        <w:t>0</w:t>
      </w:r>
      <w:bookmarkEnd w:id="29"/>
      <w:r w:rsidRPr="00450FB4">
        <w:rPr>
          <w:color w:val="000000"/>
          <w:kern w:val="1"/>
          <w:sz w:val="24"/>
          <w:szCs w:val="24"/>
          <w:lang w:eastAsia="ar-SA"/>
        </w:rPr>
        <w:t xml:space="preserve"> + α Merger + β</w:t>
      </w:r>
      <w:r w:rsidRPr="00450FB4">
        <w:rPr>
          <w:color w:val="000000"/>
          <w:kern w:val="1"/>
          <w:sz w:val="24"/>
          <w:szCs w:val="24"/>
          <w:vertAlign w:val="subscript"/>
          <w:lang w:eastAsia="ar-SA"/>
        </w:rPr>
        <w:t>1</w:t>
      </w:r>
      <w:r w:rsidRPr="00450FB4">
        <w:rPr>
          <w:color w:val="000000"/>
          <w:kern w:val="1"/>
          <w:sz w:val="24"/>
          <w:szCs w:val="24"/>
          <w:lang w:eastAsia="ar-SA"/>
        </w:rPr>
        <w:t xml:space="preserve"> FL + β</w:t>
      </w:r>
      <w:r w:rsidRPr="00450FB4">
        <w:rPr>
          <w:color w:val="000000"/>
          <w:kern w:val="1"/>
          <w:sz w:val="24"/>
          <w:szCs w:val="24"/>
          <w:vertAlign w:val="subscript"/>
          <w:lang w:eastAsia="ar-SA"/>
        </w:rPr>
        <w:t>2</w:t>
      </w:r>
      <w:r w:rsidRPr="00450FB4">
        <w:rPr>
          <w:color w:val="000000"/>
          <w:kern w:val="1"/>
          <w:sz w:val="24"/>
          <w:szCs w:val="24"/>
          <w:lang w:eastAsia="ar-SA"/>
        </w:rPr>
        <w:t>AS + ε</w:t>
      </w:r>
    </w:p>
    <w:p w14:paraId="71D1F1BA" w14:textId="77777777" w:rsidR="00A95558" w:rsidRPr="00450FB4" w:rsidRDefault="00D67080" w:rsidP="00A95558">
      <w:pPr>
        <w:widowControl/>
        <w:suppressAutoHyphens/>
        <w:autoSpaceDE/>
        <w:autoSpaceDN/>
        <w:jc w:val="both"/>
        <w:rPr>
          <w:bCs/>
          <w:color w:val="010205"/>
          <w:kern w:val="1"/>
          <w:sz w:val="24"/>
          <w:szCs w:val="24"/>
          <w:lang w:eastAsia="ar-SA"/>
        </w:rPr>
      </w:pPr>
      <w:r w:rsidRPr="00450FB4">
        <w:rPr>
          <w:color w:val="000000"/>
          <w:kern w:val="1"/>
          <w:sz w:val="24"/>
          <w:szCs w:val="24"/>
          <w:lang w:eastAsia="ar-SA"/>
        </w:rPr>
        <w:t>CR = β</w:t>
      </w:r>
      <w:r w:rsidRPr="00450FB4">
        <w:rPr>
          <w:color w:val="000000"/>
          <w:kern w:val="1"/>
          <w:sz w:val="24"/>
          <w:szCs w:val="24"/>
          <w:vertAlign w:val="subscript"/>
          <w:lang w:eastAsia="ar-SA"/>
        </w:rPr>
        <w:t>0</w:t>
      </w:r>
      <w:r w:rsidRPr="00450FB4">
        <w:rPr>
          <w:color w:val="000000"/>
          <w:kern w:val="1"/>
          <w:sz w:val="24"/>
          <w:szCs w:val="24"/>
          <w:lang w:eastAsia="ar-SA"/>
        </w:rPr>
        <w:t>4 – 0.40 Merger + 0.00 FL + 0.42 log AS + ε</w:t>
      </w:r>
    </w:p>
    <w:p w14:paraId="1E3355B2" w14:textId="77777777" w:rsidR="00A95558" w:rsidRPr="00450FB4" w:rsidRDefault="00D67080" w:rsidP="00A95558">
      <w:pPr>
        <w:widowControl/>
        <w:suppressAutoHyphens/>
        <w:autoSpaceDE/>
        <w:autoSpaceDN/>
        <w:spacing w:after="160"/>
        <w:ind w:left="720" w:hanging="720"/>
        <w:jc w:val="both"/>
        <w:rPr>
          <w:b/>
          <w:color w:val="000000"/>
          <w:kern w:val="1"/>
          <w:sz w:val="24"/>
          <w:szCs w:val="24"/>
          <w:lang w:eastAsia="ar-SA"/>
        </w:rPr>
      </w:pPr>
      <w:bookmarkStart w:id="30" w:name="_Hlk173410672"/>
      <w:r w:rsidRPr="00450FB4">
        <w:rPr>
          <w:bCs/>
          <w:color w:val="010205"/>
          <w:kern w:val="1"/>
          <w:sz w:val="24"/>
          <w:szCs w:val="24"/>
          <w:lang w:eastAsia="ar-SA"/>
        </w:rPr>
        <w:t>Based on the analysis, it is observed that the CR is not impacted by any of these parameters, and hence, the hypothesis is not accepted.</w:t>
      </w:r>
    </w:p>
    <w:bookmarkEnd w:id="30"/>
    <w:p w14:paraId="326B6183" w14:textId="77777777" w:rsidR="00A95558" w:rsidRPr="00450FB4" w:rsidRDefault="00A95558" w:rsidP="00A95558">
      <w:pPr>
        <w:widowControl/>
        <w:suppressAutoHyphens/>
        <w:autoSpaceDE/>
        <w:autoSpaceDN/>
        <w:jc w:val="both"/>
        <w:rPr>
          <w:b/>
          <w:color w:val="000000"/>
          <w:kern w:val="1"/>
          <w:sz w:val="24"/>
          <w:szCs w:val="24"/>
          <w:lang w:eastAsia="ar-SA"/>
        </w:rPr>
      </w:pPr>
    </w:p>
    <w:p w14:paraId="5C889BE1" w14:textId="77777777" w:rsidR="00A95558" w:rsidRPr="00450FB4" w:rsidRDefault="00D67080" w:rsidP="00A95558">
      <w:pPr>
        <w:widowControl/>
        <w:suppressAutoHyphens/>
        <w:autoSpaceDE/>
        <w:autoSpaceDN/>
        <w:jc w:val="both"/>
        <w:rPr>
          <w:b/>
          <w:bCs/>
          <w:color w:val="000000"/>
          <w:kern w:val="1"/>
          <w:sz w:val="24"/>
          <w:szCs w:val="24"/>
          <w:lang w:eastAsia="ar-SA"/>
        </w:rPr>
      </w:pPr>
      <w:r w:rsidRPr="00450FB4">
        <w:rPr>
          <w:b/>
          <w:color w:val="000000"/>
          <w:kern w:val="1"/>
          <w:sz w:val="24"/>
          <w:szCs w:val="24"/>
          <w:lang w:eastAsia="ar-SA"/>
        </w:rPr>
        <w:t>Model 5: Financial Leverage</w:t>
      </w:r>
    </w:p>
    <w:p w14:paraId="7FD0F6E7"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b/>
          <w:bCs/>
          <w:color w:val="000000"/>
          <w:kern w:val="1"/>
          <w:sz w:val="24"/>
          <w:szCs w:val="24"/>
          <w:lang w:eastAsia="ar-SA"/>
        </w:rPr>
        <w:t>Hypothesis 4:</w:t>
      </w:r>
      <w:r w:rsidRPr="00450FB4">
        <w:rPr>
          <w:color w:val="000000"/>
          <w:kern w:val="1"/>
          <w:sz w:val="24"/>
          <w:szCs w:val="24"/>
          <w:lang w:eastAsia="ar-SA"/>
        </w:rPr>
        <w:t xml:space="preserve"> M&amp;A between fintech and acquiring firms has a significantly positive impact on the financial leverage of acquirers in India.</w:t>
      </w:r>
    </w:p>
    <w:p w14:paraId="0E9CF8E7"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The variables in the study were; </w:t>
      </w:r>
    </w:p>
    <w:p w14:paraId="3705687F"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Dependent variable: FL</w:t>
      </w:r>
    </w:p>
    <w:p w14:paraId="65869AEA"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Independent variable: Merger, CR, AS, </w:t>
      </w:r>
    </w:p>
    <w:p w14:paraId="77F1E77C" w14:textId="77777777" w:rsidR="00A95558" w:rsidRPr="00450FB4" w:rsidRDefault="00D67080" w:rsidP="00A95558">
      <w:pPr>
        <w:widowControl/>
        <w:suppressAutoHyphens/>
        <w:autoSpaceDE/>
        <w:autoSpaceDN/>
        <w:jc w:val="both"/>
        <w:rPr>
          <w:color w:val="000000"/>
          <w:kern w:val="1"/>
          <w:sz w:val="24"/>
          <w:szCs w:val="24"/>
          <w:lang w:eastAsia="ar-SA"/>
        </w:rPr>
      </w:pPr>
      <w:r w:rsidRPr="00450FB4">
        <w:rPr>
          <w:color w:val="000000"/>
          <w:kern w:val="1"/>
          <w:sz w:val="24"/>
          <w:szCs w:val="24"/>
          <w:lang w:eastAsia="ar-SA"/>
        </w:rPr>
        <w:t xml:space="preserve">FL = </w:t>
      </w:r>
      <w:bookmarkStart w:id="31" w:name="_Hlk173086590"/>
      <w:r w:rsidRPr="00450FB4">
        <w:rPr>
          <w:color w:val="000000"/>
          <w:kern w:val="1"/>
          <w:sz w:val="24"/>
          <w:szCs w:val="24"/>
          <w:lang w:eastAsia="ar-SA"/>
        </w:rPr>
        <w:t>β</w:t>
      </w:r>
      <w:r w:rsidRPr="00450FB4">
        <w:rPr>
          <w:color w:val="000000"/>
          <w:kern w:val="1"/>
          <w:sz w:val="24"/>
          <w:szCs w:val="24"/>
          <w:vertAlign w:val="subscript"/>
          <w:lang w:eastAsia="ar-SA"/>
        </w:rPr>
        <w:t>0</w:t>
      </w:r>
      <w:r w:rsidRPr="00450FB4">
        <w:rPr>
          <w:color w:val="000000"/>
          <w:kern w:val="1"/>
          <w:sz w:val="24"/>
          <w:szCs w:val="24"/>
          <w:lang w:eastAsia="ar-SA"/>
        </w:rPr>
        <w:t xml:space="preserve"> </w:t>
      </w:r>
      <w:bookmarkEnd w:id="31"/>
      <w:r w:rsidRPr="00450FB4">
        <w:rPr>
          <w:color w:val="000000"/>
          <w:kern w:val="1"/>
          <w:sz w:val="24"/>
          <w:szCs w:val="24"/>
          <w:lang w:eastAsia="ar-SA"/>
        </w:rPr>
        <w:t>+ α Merger + β</w:t>
      </w:r>
      <w:r w:rsidRPr="00450FB4">
        <w:rPr>
          <w:color w:val="000000"/>
          <w:kern w:val="1"/>
          <w:sz w:val="24"/>
          <w:szCs w:val="24"/>
          <w:vertAlign w:val="subscript"/>
          <w:lang w:eastAsia="ar-SA"/>
        </w:rPr>
        <w:t>1</w:t>
      </w:r>
      <w:r w:rsidRPr="00450FB4">
        <w:rPr>
          <w:color w:val="000000"/>
          <w:kern w:val="1"/>
          <w:sz w:val="24"/>
          <w:szCs w:val="24"/>
          <w:lang w:eastAsia="ar-SA"/>
        </w:rPr>
        <w:t>CR + β</w:t>
      </w:r>
      <w:r w:rsidRPr="00450FB4">
        <w:rPr>
          <w:color w:val="000000"/>
          <w:kern w:val="1"/>
          <w:sz w:val="24"/>
          <w:szCs w:val="24"/>
          <w:vertAlign w:val="subscript"/>
          <w:lang w:eastAsia="ar-SA"/>
        </w:rPr>
        <w:t>2</w:t>
      </w:r>
      <w:r w:rsidRPr="00450FB4">
        <w:rPr>
          <w:color w:val="000000"/>
          <w:kern w:val="1"/>
          <w:sz w:val="24"/>
          <w:szCs w:val="24"/>
          <w:lang w:eastAsia="ar-SA"/>
        </w:rPr>
        <w:t xml:space="preserve"> AS + ε</w:t>
      </w:r>
    </w:p>
    <w:p w14:paraId="164A7024" w14:textId="77777777" w:rsidR="00A95558" w:rsidRPr="00450FB4" w:rsidRDefault="00D67080" w:rsidP="00A95558">
      <w:pPr>
        <w:widowControl/>
        <w:suppressAutoHyphens/>
        <w:autoSpaceDE/>
        <w:autoSpaceDN/>
        <w:jc w:val="both"/>
        <w:rPr>
          <w:bCs/>
          <w:color w:val="010205"/>
          <w:kern w:val="1"/>
          <w:sz w:val="24"/>
          <w:szCs w:val="24"/>
          <w:lang w:eastAsia="ar-SA"/>
        </w:rPr>
      </w:pPr>
      <w:r w:rsidRPr="00450FB4">
        <w:rPr>
          <w:color w:val="000000"/>
          <w:kern w:val="1"/>
          <w:sz w:val="24"/>
          <w:szCs w:val="24"/>
          <w:lang w:eastAsia="ar-SA"/>
        </w:rPr>
        <w:t>FL = β</w:t>
      </w:r>
      <w:r w:rsidRPr="00450FB4">
        <w:rPr>
          <w:color w:val="000000"/>
          <w:kern w:val="1"/>
          <w:sz w:val="24"/>
          <w:szCs w:val="24"/>
          <w:vertAlign w:val="subscript"/>
          <w:lang w:eastAsia="ar-SA"/>
        </w:rPr>
        <w:t>0</w:t>
      </w:r>
      <w:r w:rsidRPr="00450FB4">
        <w:rPr>
          <w:color w:val="000000"/>
          <w:kern w:val="1"/>
          <w:sz w:val="24"/>
          <w:szCs w:val="24"/>
          <w:lang w:eastAsia="ar-SA"/>
        </w:rPr>
        <w:t xml:space="preserve"> – 183.99 Merger – 14.38 CR + 390.21 log AS + ε</w:t>
      </w:r>
    </w:p>
    <w:p w14:paraId="40BCE4BA" w14:textId="77777777" w:rsidR="00A95558" w:rsidRPr="00450FB4" w:rsidRDefault="00A95558" w:rsidP="00A95558">
      <w:pPr>
        <w:widowControl/>
        <w:suppressAutoHyphens/>
        <w:autoSpaceDE/>
        <w:autoSpaceDN/>
        <w:spacing w:after="160"/>
        <w:ind w:left="720" w:hanging="720"/>
        <w:jc w:val="both"/>
        <w:rPr>
          <w:bCs/>
          <w:color w:val="010205"/>
          <w:kern w:val="1"/>
          <w:sz w:val="24"/>
          <w:szCs w:val="24"/>
          <w:lang w:eastAsia="ar-SA"/>
        </w:rPr>
      </w:pPr>
    </w:p>
    <w:p w14:paraId="299F90A2" w14:textId="77777777" w:rsidR="00A95558" w:rsidRPr="00450FB4" w:rsidRDefault="00D67080" w:rsidP="00A95558">
      <w:pPr>
        <w:widowControl/>
        <w:suppressAutoHyphens/>
        <w:autoSpaceDE/>
        <w:autoSpaceDN/>
        <w:spacing w:after="160"/>
        <w:ind w:left="720" w:hanging="720"/>
        <w:jc w:val="both"/>
        <w:rPr>
          <w:bCs/>
          <w:color w:val="010205"/>
          <w:kern w:val="1"/>
          <w:sz w:val="24"/>
          <w:szCs w:val="24"/>
          <w:lang w:eastAsia="ar-SA"/>
        </w:rPr>
      </w:pPr>
      <w:r w:rsidRPr="00450FB4">
        <w:rPr>
          <w:bCs/>
          <w:color w:val="010205"/>
          <w:kern w:val="1"/>
          <w:sz w:val="24"/>
          <w:szCs w:val="24"/>
          <w:lang w:eastAsia="ar-SA"/>
        </w:rPr>
        <w:t xml:space="preserve">Based on the analysis, it is observed that the FL is not impacted by any of these parameters, </w:t>
      </w:r>
    </w:p>
    <w:p w14:paraId="697C6141" w14:textId="77777777" w:rsidR="00A95558" w:rsidRPr="00450FB4" w:rsidRDefault="00D67080" w:rsidP="00A95558">
      <w:pPr>
        <w:widowControl/>
        <w:suppressAutoHyphens/>
        <w:autoSpaceDE/>
        <w:autoSpaceDN/>
        <w:spacing w:after="160"/>
        <w:ind w:left="720" w:hanging="720"/>
        <w:jc w:val="both"/>
        <w:rPr>
          <w:b/>
          <w:color w:val="000000"/>
          <w:kern w:val="1"/>
          <w:sz w:val="24"/>
          <w:szCs w:val="24"/>
          <w:lang w:eastAsia="ar-SA"/>
        </w:rPr>
      </w:pPr>
      <w:r w:rsidRPr="00450FB4">
        <w:rPr>
          <w:bCs/>
          <w:color w:val="010205"/>
          <w:kern w:val="1"/>
          <w:sz w:val="24"/>
          <w:szCs w:val="24"/>
          <w:lang w:eastAsia="ar-SA"/>
        </w:rPr>
        <w:t>Hence, the hypothesis is not accepted.</w:t>
      </w:r>
    </w:p>
    <w:p w14:paraId="63ABE29D" w14:textId="77777777" w:rsidR="00A95558" w:rsidRPr="00450FB4" w:rsidRDefault="00D67080" w:rsidP="00A95558">
      <w:pPr>
        <w:widowControl/>
        <w:tabs>
          <w:tab w:val="left" w:pos="4026"/>
        </w:tabs>
        <w:suppressAutoHyphens/>
        <w:autoSpaceDE/>
        <w:autoSpaceDN/>
        <w:spacing w:before="240"/>
        <w:jc w:val="both"/>
        <w:rPr>
          <w:bCs/>
          <w:color w:val="010205"/>
          <w:kern w:val="1"/>
          <w:sz w:val="24"/>
          <w:szCs w:val="24"/>
          <w:lang w:eastAsia="ar-SA"/>
        </w:rPr>
      </w:pPr>
      <w:r w:rsidRPr="00450FB4">
        <w:rPr>
          <w:bCs/>
          <w:color w:val="010205"/>
          <w:kern w:val="1"/>
          <w:sz w:val="24"/>
          <w:szCs w:val="24"/>
          <w:lang w:eastAsia="ar-SA"/>
        </w:rPr>
        <w:t xml:space="preserve">Overall, the </w:t>
      </w:r>
      <w:r w:rsidRPr="00450FB4">
        <w:rPr>
          <w:bCs/>
          <w:color w:val="000000"/>
          <w:kern w:val="1"/>
          <w:sz w:val="24"/>
          <w:szCs w:val="24"/>
          <w:lang w:eastAsia="ar-SA"/>
        </w:rPr>
        <w:t xml:space="preserve">One-way (individual) effect One-step model Difference GMM </w:t>
      </w:r>
      <w:r w:rsidRPr="00450FB4">
        <w:rPr>
          <w:bCs/>
          <w:color w:val="010205"/>
          <w:kern w:val="1"/>
          <w:sz w:val="24"/>
          <w:szCs w:val="24"/>
          <w:lang w:eastAsia="ar-SA"/>
        </w:rPr>
        <w:t>analysis suggests mixed impacts of mergers on different financial performance indicators. Both ROA (p-value 0.076) and NPM (p-value 0.089) are not affected by Merger. ROA is significantly influenced by NPM (p-value 0.00) and FL (p-value 0.00). ASP is affected significantly by Merger (p value 0.00), FL (p value 0.00), and AS (p value 0.00). Both CR and FL are not affected by any of these parameters. These findings highlight mergers' complex and varying effects on the financial metrics of acquiring firms in India</w:t>
      </w:r>
      <w:r w:rsidR="00240B98" w:rsidRPr="00450FB4">
        <w:rPr>
          <w:bCs/>
          <w:color w:val="010205"/>
          <w:kern w:val="1"/>
          <w:sz w:val="24"/>
          <w:szCs w:val="24"/>
          <w:lang w:eastAsia="ar-SA"/>
        </w:rPr>
        <w:t>.</w:t>
      </w:r>
    </w:p>
    <w:p w14:paraId="54217F5E" w14:textId="77777777" w:rsidR="00102A96" w:rsidRPr="00450FB4" w:rsidRDefault="00102A96" w:rsidP="00A95558">
      <w:pPr>
        <w:widowControl/>
        <w:tabs>
          <w:tab w:val="left" w:pos="4026"/>
        </w:tabs>
        <w:suppressAutoHyphens/>
        <w:autoSpaceDE/>
        <w:autoSpaceDN/>
        <w:spacing w:before="240"/>
        <w:jc w:val="both"/>
        <w:rPr>
          <w:bCs/>
          <w:color w:val="010205"/>
          <w:kern w:val="1"/>
          <w:sz w:val="24"/>
          <w:szCs w:val="24"/>
          <w:lang w:eastAsia="ar-SA"/>
        </w:rPr>
      </w:pPr>
    </w:p>
    <w:p w14:paraId="79A2F3EA" w14:textId="77777777" w:rsidR="00457821" w:rsidRPr="00450FB4" w:rsidRDefault="00457821" w:rsidP="00A95558">
      <w:pPr>
        <w:widowControl/>
        <w:tabs>
          <w:tab w:val="left" w:pos="4026"/>
        </w:tabs>
        <w:suppressAutoHyphens/>
        <w:autoSpaceDE/>
        <w:autoSpaceDN/>
        <w:spacing w:before="240"/>
        <w:jc w:val="center"/>
        <w:rPr>
          <w:b/>
          <w:bCs/>
          <w:color w:val="000000"/>
          <w:kern w:val="1"/>
          <w:sz w:val="24"/>
          <w:szCs w:val="24"/>
          <w:lang w:eastAsia="ar-SA"/>
        </w:rPr>
      </w:pPr>
    </w:p>
    <w:p w14:paraId="24202D4A" w14:textId="47E364E8" w:rsidR="00A95558" w:rsidRPr="00450FB4" w:rsidRDefault="00D67080" w:rsidP="00A95558">
      <w:pPr>
        <w:widowControl/>
        <w:tabs>
          <w:tab w:val="left" w:pos="4026"/>
        </w:tabs>
        <w:suppressAutoHyphens/>
        <w:autoSpaceDE/>
        <w:autoSpaceDN/>
        <w:spacing w:before="240"/>
        <w:jc w:val="center"/>
        <w:rPr>
          <w:b/>
          <w:bCs/>
          <w:color w:val="000000"/>
          <w:kern w:val="1"/>
          <w:sz w:val="24"/>
          <w:szCs w:val="24"/>
          <w:lang w:eastAsia="ar-SA"/>
        </w:rPr>
      </w:pPr>
      <w:r w:rsidRPr="00450FB4">
        <w:rPr>
          <w:b/>
          <w:bCs/>
          <w:color w:val="000000"/>
          <w:kern w:val="1"/>
          <w:sz w:val="24"/>
          <w:szCs w:val="24"/>
          <w:lang w:eastAsia="ar-SA"/>
        </w:rPr>
        <w:lastRenderedPageBreak/>
        <w:t xml:space="preserve">Table No 6: </w:t>
      </w:r>
      <w:bookmarkStart w:id="32" w:name="_Hlk173410742"/>
      <w:r w:rsidRPr="00450FB4">
        <w:rPr>
          <w:b/>
          <w:bCs/>
          <w:color w:val="000000"/>
          <w:kern w:val="1"/>
          <w:sz w:val="24"/>
          <w:szCs w:val="24"/>
          <w:lang w:eastAsia="ar-SA"/>
        </w:rPr>
        <w:t>One-way (individual) effect One-step model Difference GMM</w:t>
      </w:r>
    </w:p>
    <w:tbl>
      <w:tblPr>
        <w:tblW w:w="5000" w:type="pct"/>
        <w:tblBorders>
          <w:top w:val="single" w:sz="4" w:space="0" w:color="auto"/>
          <w:bottom w:val="single" w:sz="4" w:space="0" w:color="auto"/>
        </w:tblBorders>
        <w:tblLook w:val="0000" w:firstRow="0" w:lastRow="0" w:firstColumn="0" w:lastColumn="0" w:noHBand="0" w:noVBand="0"/>
      </w:tblPr>
      <w:tblGrid>
        <w:gridCol w:w="1637"/>
        <w:gridCol w:w="1278"/>
        <w:gridCol w:w="1254"/>
        <w:gridCol w:w="1277"/>
        <w:gridCol w:w="1254"/>
        <w:gridCol w:w="1000"/>
      </w:tblGrid>
      <w:tr w:rsidR="00161788" w:rsidRPr="00450FB4" w14:paraId="53FFF3C8" w14:textId="77777777" w:rsidTr="000C7E69">
        <w:trPr>
          <w:trHeight w:val="303"/>
        </w:trPr>
        <w:tc>
          <w:tcPr>
            <w:tcW w:w="1067" w:type="pct"/>
            <w:vMerge w:val="restart"/>
            <w:tcBorders>
              <w:top w:val="single" w:sz="4" w:space="0" w:color="auto"/>
            </w:tcBorders>
            <w:shd w:val="clear" w:color="auto" w:fill="FFFFFF"/>
            <w:vAlign w:val="bottom"/>
          </w:tcPr>
          <w:bookmarkEnd w:id="32"/>
          <w:p w14:paraId="01763831"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 </w:t>
            </w:r>
          </w:p>
          <w:p w14:paraId="2F566E24"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Explanatory Variable</w:t>
            </w:r>
          </w:p>
        </w:tc>
        <w:tc>
          <w:tcPr>
            <w:tcW w:w="834" w:type="pct"/>
            <w:tcBorders>
              <w:top w:val="single" w:sz="4" w:space="0" w:color="auto"/>
              <w:bottom w:val="single" w:sz="4" w:space="0" w:color="auto"/>
            </w:tcBorders>
            <w:shd w:val="clear" w:color="auto" w:fill="FFFFFF"/>
            <w:vAlign w:val="bottom"/>
          </w:tcPr>
          <w:p w14:paraId="21CC39B7"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1</w:t>
            </w:r>
          </w:p>
        </w:tc>
        <w:tc>
          <w:tcPr>
            <w:tcW w:w="818" w:type="pct"/>
            <w:tcBorders>
              <w:top w:val="single" w:sz="4" w:space="0" w:color="auto"/>
              <w:bottom w:val="single" w:sz="4" w:space="0" w:color="auto"/>
            </w:tcBorders>
            <w:shd w:val="clear" w:color="auto" w:fill="FFFFFF"/>
            <w:vAlign w:val="bottom"/>
          </w:tcPr>
          <w:p w14:paraId="32CEF045"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2</w:t>
            </w:r>
          </w:p>
        </w:tc>
        <w:tc>
          <w:tcPr>
            <w:tcW w:w="833" w:type="pct"/>
            <w:tcBorders>
              <w:top w:val="single" w:sz="4" w:space="0" w:color="auto"/>
              <w:bottom w:val="single" w:sz="4" w:space="0" w:color="auto"/>
            </w:tcBorders>
            <w:shd w:val="clear" w:color="auto" w:fill="FFFFFF"/>
            <w:vAlign w:val="bottom"/>
          </w:tcPr>
          <w:p w14:paraId="47E44D89"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3</w:t>
            </w:r>
          </w:p>
        </w:tc>
        <w:tc>
          <w:tcPr>
            <w:tcW w:w="818" w:type="pct"/>
            <w:tcBorders>
              <w:top w:val="single" w:sz="4" w:space="0" w:color="auto"/>
              <w:bottom w:val="single" w:sz="4" w:space="0" w:color="auto"/>
            </w:tcBorders>
            <w:shd w:val="clear" w:color="auto" w:fill="FFFFFF"/>
            <w:vAlign w:val="bottom"/>
          </w:tcPr>
          <w:p w14:paraId="1C7F6763"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4</w:t>
            </w:r>
          </w:p>
        </w:tc>
        <w:tc>
          <w:tcPr>
            <w:tcW w:w="630" w:type="pct"/>
            <w:tcBorders>
              <w:top w:val="single" w:sz="4" w:space="0" w:color="auto"/>
              <w:bottom w:val="single" w:sz="4" w:space="0" w:color="auto"/>
            </w:tcBorders>
            <w:shd w:val="clear" w:color="auto" w:fill="FFFFFF"/>
            <w:vAlign w:val="bottom"/>
          </w:tcPr>
          <w:p w14:paraId="5EADFE41"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5</w:t>
            </w:r>
          </w:p>
        </w:tc>
      </w:tr>
      <w:tr w:rsidR="00161788" w:rsidRPr="00450FB4" w14:paraId="61836F01" w14:textId="77777777" w:rsidTr="000C7E69">
        <w:trPr>
          <w:trHeight w:val="296"/>
        </w:trPr>
        <w:tc>
          <w:tcPr>
            <w:tcW w:w="1067" w:type="pct"/>
            <w:vMerge/>
            <w:tcBorders>
              <w:bottom w:val="single" w:sz="4" w:space="0" w:color="auto"/>
            </w:tcBorders>
            <w:shd w:val="clear" w:color="auto" w:fill="FFFFFF"/>
            <w:vAlign w:val="bottom"/>
          </w:tcPr>
          <w:p w14:paraId="1D381647" w14:textId="77777777" w:rsidR="00A95558" w:rsidRPr="00450FB4" w:rsidRDefault="00A95558" w:rsidP="00240B98">
            <w:pPr>
              <w:widowControl/>
              <w:suppressAutoHyphens/>
              <w:autoSpaceDE/>
              <w:autoSpaceDN/>
              <w:jc w:val="both"/>
              <w:rPr>
                <w:b/>
                <w:bCs/>
                <w:color w:val="000000"/>
                <w:kern w:val="1"/>
                <w:sz w:val="20"/>
                <w:szCs w:val="20"/>
                <w:lang w:eastAsia="ar-SA"/>
              </w:rPr>
            </w:pPr>
          </w:p>
        </w:tc>
        <w:tc>
          <w:tcPr>
            <w:tcW w:w="834" w:type="pct"/>
            <w:tcBorders>
              <w:top w:val="single" w:sz="4" w:space="0" w:color="auto"/>
              <w:bottom w:val="single" w:sz="4" w:space="0" w:color="auto"/>
            </w:tcBorders>
            <w:shd w:val="clear" w:color="auto" w:fill="FFFFFF"/>
            <w:vAlign w:val="bottom"/>
          </w:tcPr>
          <w:p w14:paraId="0BBB5460"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ROA</w:t>
            </w:r>
          </w:p>
        </w:tc>
        <w:tc>
          <w:tcPr>
            <w:tcW w:w="818" w:type="pct"/>
            <w:tcBorders>
              <w:top w:val="single" w:sz="4" w:space="0" w:color="auto"/>
              <w:bottom w:val="single" w:sz="4" w:space="0" w:color="auto"/>
            </w:tcBorders>
            <w:shd w:val="clear" w:color="auto" w:fill="FFFFFF"/>
            <w:vAlign w:val="bottom"/>
          </w:tcPr>
          <w:p w14:paraId="2CA08B4B"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NPM</w:t>
            </w:r>
          </w:p>
        </w:tc>
        <w:tc>
          <w:tcPr>
            <w:tcW w:w="833" w:type="pct"/>
            <w:tcBorders>
              <w:top w:val="single" w:sz="4" w:space="0" w:color="auto"/>
              <w:bottom w:val="single" w:sz="4" w:space="0" w:color="auto"/>
            </w:tcBorders>
            <w:shd w:val="clear" w:color="auto" w:fill="FFFFFF"/>
            <w:vAlign w:val="bottom"/>
          </w:tcPr>
          <w:p w14:paraId="260C7A5D"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ASP</w:t>
            </w:r>
          </w:p>
        </w:tc>
        <w:tc>
          <w:tcPr>
            <w:tcW w:w="818" w:type="pct"/>
            <w:tcBorders>
              <w:top w:val="single" w:sz="4" w:space="0" w:color="auto"/>
              <w:bottom w:val="single" w:sz="4" w:space="0" w:color="auto"/>
            </w:tcBorders>
            <w:shd w:val="clear" w:color="auto" w:fill="FFFFFF"/>
            <w:vAlign w:val="bottom"/>
          </w:tcPr>
          <w:p w14:paraId="47BF0B84"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CR</w:t>
            </w:r>
          </w:p>
        </w:tc>
        <w:tc>
          <w:tcPr>
            <w:tcW w:w="630" w:type="pct"/>
            <w:tcBorders>
              <w:top w:val="single" w:sz="4" w:space="0" w:color="auto"/>
              <w:bottom w:val="single" w:sz="4" w:space="0" w:color="auto"/>
            </w:tcBorders>
            <w:shd w:val="clear" w:color="auto" w:fill="FFFFFF"/>
            <w:vAlign w:val="bottom"/>
          </w:tcPr>
          <w:p w14:paraId="0729969B"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FL</w:t>
            </w:r>
          </w:p>
        </w:tc>
      </w:tr>
      <w:tr w:rsidR="00161788" w:rsidRPr="00450FB4" w14:paraId="191FF776" w14:textId="77777777" w:rsidTr="000C7E69">
        <w:trPr>
          <w:trHeight w:val="303"/>
        </w:trPr>
        <w:tc>
          <w:tcPr>
            <w:tcW w:w="1067" w:type="pct"/>
            <w:vMerge w:val="restart"/>
            <w:tcBorders>
              <w:top w:val="single" w:sz="4" w:space="0" w:color="auto"/>
            </w:tcBorders>
            <w:shd w:val="clear" w:color="auto" w:fill="FFFFFF"/>
          </w:tcPr>
          <w:p w14:paraId="0A466A2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Merger</w:t>
            </w:r>
          </w:p>
        </w:tc>
        <w:tc>
          <w:tcPr>
            <w:tcW w:w="834" w:type="pct"/>
            <w:tcBorders>
              <w:top w:val="single" w:sz="4" w:space="0" w:color="auto"/>
            </w:tcBorders>
            <w:shd w:val="clear" w:color="auto" w:fill="FFFFFF"/>
            <w:vAlign w:val="bottom"/>
          </w:tcPr>
          <w:p w14:paraId="4A625BF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-1.264.</w:t>
            </w:r>
          </w:p>
        </w:tc>
        <w:tc>
          <w:tcPr>
            <w:tcW w:w="818" w:type="pct"/>
            <w:tcBorders>
              <w:top w:val="single" w:sz="4" w:space="0" w:color="auto"/>
            </w:tcBorders>
            <w:shd w:val="clear" w:color="auto" w:fill="FFFFFF"/>
            <w:vAlign w:val="bottom"/>
          </w:tcPr>
          <w:p w14:paraId="3A6FD73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-6.628.</w:t>
            </w:r>
          </w:p>
        </w:tc>
        <w:tc>
          <w:tcPr>
            <w:tcW w:w="833" w:type="pct"/>
            <w:tcBorders>
              <w:top w:val="single" w:sz="4" w:space="0" w:color="auto"/>
            </w:tcBorders>
            <w:shd w:val="clear" w:color="auto" w:fill="FFFFFF"/>
            <w:vAlign w:val="bottom"/>
          </w:tcPr>
          <w:p w14:paraId="6FA159A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144.651***</w:t>
            </w:r>
          </w:p>
        </w:tc>
        <w:tc>
          <w:tcPr>
            <w:tcW w:w="818" w:type="pct"/>
            <w:tcBorders>
              <w:top w:val="single" w:sz="4" w:space="0" w:color="auto"/>
            </w:tcBorders>
            <w:shd w:val="clear" w:color="auto" w:fill="FFFFFF"/>
            <w:vAlign w:val="bottom"/>
          </w:tcPr>
          <w:p w14:paraId="1BF9971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-0.403*</w:t>
            </w:r>
          </w:p>
        </w:tc>
        <w:tc>
          <w:tcPr>
            <w:tcW w:w="630" w:type="pct"/>
            <w:tcBorders>
              <w:top w:val="single" w:sz="4" w:space="0" w:color="auto"/>
            </w:tcBorders>
            <w:shd w:val="clear" w:color="auto" w:fill="FFFFFF"/>
            <w:vAlign w:val="bottom"/>
          </w:tcPr>
          <w:p w14:paraId="5125259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-183.999</w:t>
            </w:r>
          </w:p>
        </w:tc>
      </w:tr>
      <w:tr w:rsidR="00161788" w:rsidRPr="00450FB4" w14:paraId="34292CAC" w14:textId="77777777" w:rsidTr="000C7E69">
        <w:trPr>
          <w:trHeight w:val="303"/>
        </w:trPr>
        <w:tc>
          <w:tcPr>
            <w:tcW w:w="1067" w:type="pct"/>
            <w:vMerge/>
            <w:shd w:val="clear" w:color="auto" w:fill="auto"/>
            <w:vAlign w:val="center"/>
          </w:tcPr>
          <w:p w14:paraId="7A652907"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15E3F67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(0.713)</w:t>
            </w:r>
          </w:p>
        </w:tc>
        <w:tc>
          <w:tcPr>
            <w:tcW w:w="818" w:type="pct"/>
            <w:shd w:val="clear" w:color="auto" w:fill="FFFFFF"/>
            <w:vAlign w:val="bottom"/>
          </w:tcPr>
          <w:p w14:paraId="6573160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(3.902)</w:t>
            </w:r>
          </w:p>
        </w:tc>
        <w:tc>
          <w:tcPr>
            <w:tcW w:w="833" w:type="pct"/>
            <w:shd w:val="clear" w:color="auto" w:fill="FFFFFF"/>
            <w:vAlign w:val="bottom"/>
          </w:tcPr>
          <w:p w14:paraId="0B222DB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(34.148)</w:t>
            </w:r>
          </w:p>
        </w:tc>
        <w:tc>
          <w:tcPr>
            <w:tcW w:w="818" w:type="pct"/>
            <w:shd w:val="clear" w:color="auto" w:fill="FFFFFF"/>
            <w:vAlign w:val="bottom"/>
          </w:tcPr>
          <w:p w14:paraId="393FBCE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(0.204)</w:t>
            </w:r>
          </w:p>
        </w:tc>
        <w:tc>
          <w:tcPr>
            <w:tcW w:w="630" w:type="pct"/>
            <w:shd w:val="clear" w:color="auto" w:fill="FFFFFF"/>
            <w:vAlign w:val="bottom"/>
          </w:tcPr>
          <w:p w14:paraId="5D3E254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(164.743)</w:t>
            </w:r>
          </w:p>
        </w:tc>
      </w:tr>
      <w:tr w:rsidR="00161788" w:rsidRPr="00450FB4" w14:paraId="4CA8CAC4" w14:textId="77777777" w:rsidTr="000C7E69">
        <w:trPr>
          <w:trHeight w:val="303"/>
        </w:trPr>
        <w:tc>
          <w:tcPr>
            <w:tcW w:w="1067" w:type="pct"/>
            <w:vMerge/>
            <w:shd w:val="clear" w:color="auto" w:fill="auto"/>
            <w:vAlign w:val="center"/>
          </w:tcPr>
          <w:p w14:paraId="2AA3A371"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62C2018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[0.076]</w:t>
            </w:r>
          </w:p>
        </w:tc>
        <w:tc>
          <w:tcPr>
            <w:tcW w:w="818" w:type="pct"/>
            <w:shd w:val="clear" w:color="auto" w:fill="FFFFFF"/>
            <w:vAlign w:val="bottom"/>
          </w:tcPr>
          <w:p w14:paraId="47C1DCA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[0.089]</w:t>
            </w:r>
          </w:p>
        </w:tc>
        <w:tc>
          <w:tcPr>
            <w:tcW w:w="833" w:type="pct"/>
            <w:shd w:val="clear" w:color="auto" w:fill="FFFFFF"/>
            <w:vAlign w:val="bottom"/>
          </w:tcPr>
          <w:p w14:paraId="733AE47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355C3F8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[0.048]</w:t>
            </w:r>
          </w:p>
        </w:tc>
        <w:tc>
          <w:tcPr>
            <w:tcW w:w="630" w:type="pct"/>
            <w:shd w:val="clear" w:color="auto" w:fill="FFFFFF"/>
            <w:vAlign w:val="bottom"/>
          </w:tcPr>
          <w:p w14:paraId="2EFD761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[0.264]</w:t>
            </w:r>
          </w:p>
        </w:tc>
      </w:tr>
      <w:tr w:rsidR="00161788" w:rsidRPr="00450FB4" w14:paraId="5EC437DB" w14:textId="77777777" w:rsidTr="000C7E69">
        <w:trPr>
          <w:trHeight w:val="303"/>
        </w:trPr>
        <w:tc>
          <w:tcPr>
            <w:tcW w:w="1067" w:type="pct"/>
            <w:vMerge w:val="restart"/>
            <w:shd w:val="clear" w:color="auto" w:fill="FFFFFF"/>
          </w:tcPr>
          <w:p w14:paraId="02779CB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NPM</w:t>
            </w:r>
          </w:p>
        </w:tc>
        <w:tc>
          <w:tcPr>
            <w:tcW w:w="834" w:type="pct"/>
            <w:shd w:val="clear" w:color="auto" w:fill="FFFFFF"/>
            <w:vAlign w:val="bottom"/>
          </w:tcPr>
          <w:p w14:paraId="41C303D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0.316***</w:t>
            </w:r>
          </w:p>
        </w:tc>
        <w:tc>
          <w:tcPr>
            <w:tcW w:w="818" w:type="pct"/>
            <w:shd w:val="clear" w:color="auto" w:fill="FFFFFF"/>
            <w:vAlign w:val="bottom"/>
          </w:tcPr>
          <w:p w14:paraId="7176811B"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6A43D64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2.356**</w:t>
            </w:r>
          </w:p>
        </w:tc>
        <w:tc>
          <w:tcPr>
            <w:tcW w:w="818" w:type="pct"/>
            <w:shd w:val="clear" w:color="auto" w:fill="FFFFFF"/>
            <w:vAlign w:val="bottom"/>
          </w:tcPr>
          <w:p w14:paraId="47804A2B"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1FAA2E70"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432A9715" w14:textId="77777777" w:rsidTr="000C7E69">
        <w:trPr>
          <w:trHeight w:val="303"/>
        </w:trPr>
        <w:tc>
          <w:tcPr>
            <w:tcW w:w="1067" w:type="pct"/>
            <w:vMerge/>
            <w:shd w:val="clear" w:color="auto" w:fill="auto"/>
            <w:vAlign w:val="center"/>
          </w:tcPr>
          <w:p w14:paraId="289FBD1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1326618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(0.034)</w:t>
            </w:r>
          </w:p>
        </w:tc>
        <w:tc>
          <w:tcPr>
            <w:tcW w:w="818" w:type="pct"/>
            <w:shd w:val="clear" w:color="auto" w:fill="FFFFFF"/>
            <w:vAlign w:val="bottom"/>
          </w:tcPr>
          <w:p w14:paraId="4278D5D5"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30B0190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(0.859)</w:t>
            </w:r>
          </w:p>
        </w:tc>
        <w:tc>
          <w:tcPr>
            <w:tcW w:w="818" w:type="pct"/>
            <w:shd w:val="clear" w:color="auto" w:fill="FFFFFF"/>
            <w:vAlign w:val="bottom"/>
          </w:tcPr>
          <w:p w14:paraId="6EBD1AC6"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67B91A15"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0873058B" w14:textId="77777777" w:rsidTr="000C7E69">
        <w:trPr>
          <w:trHeight w:val="303"/>
        </w:trPr>
        <w:tc>
          <w:tcPr>
            <w:tcW w:w="1067" w:type="pct"/>
            <w:vMerge/>
            <w:shd w:val="clear" w:color="auto" w:fill="auto"/>
            <w:vAlign w:val="center"/>
          </w:tcPr>
          <w:p w14:paraId="53F2D958"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2688E13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6C3478BB"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34088CE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[0.006]</w:t>
            </w:r>
          </w:p>
        </w:tc>
        <w:tc>
          <w:tcPr>
            <w:tcW w:w="818" w:type="pct"/>
            <w:shd w:val="clear" w:color="auto" w:fill="FFFFFF"/>
            <w:vAlign w:val="bottom"/>
          </w:tcPr>
          <w:p w14:paraId="47125435"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25354A60"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3983E157" w14:textId="77777777" w:rsidTr="000C7E69">
        <w:trPr>
          <w:trHeight w:val="303"/>
        </w:trPr>
        <w:tc>
          <w:tcPr>
            <w:tcW w:w="1067" w:type="pct"/>
            <w:vMerge w:val="restart"/>
            <w:shd w:val="clear" w:color="auto" w:fill="FFFFFF"/>
          </w:tcPr>
          <w:p w14:paraId="3FA84F9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FL</w:t>
            </w:r>
          </w:p>
        </w:tc>
        <w:tc>
          <w:tcPr>
            <w:tcW w:w="834" w:type="pct"/>
            <w:shd w:val="clear" w:color="auto" w:fill="FFFFFF"/>
            <w:vAlign w:val="bottom"/>
          </w:tcPr>
          <w:p w14:paraId="3702CA4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-0.002***</w:t>
            </w:r>
          </w:p>
        </w:tc>
        <w:tc>
          <w:tcPr>
            <w:tcW w:w="818" w:type="pct"/>
            <w:shd w:val="clear" w:color="auto" w:fill="FFFFFF"/>
            <w:vAlign w:val="bottom"/>
          </w:tcPr>
          <w:p w14:paraId="0117890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-0.004*</w:t>
            </w:r>
          </w:p>
        </w:tc>
        <w:tc>
          <w:tcPr>
            <w:tcW w:w="833" w:type="pct"/>
            <w:shd w:val="clear" w:color="auto" w:fill="FFFFFF"/>
            <w:vAlign w:val="bottom"/>
          </w:tcPr>
          <w:p w14:paraId="7EF1571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-0.090***</w:t>
            </w:r>
          </w:p>
        </w:tc>
        <w:tc>
          <w:tcPr>
            <w:tcW w:w="818" w:type="pct"/>
            <w:shd w:val="clear" w:color="auto" w:fill="FFFFFF"/>
            <w:vAlign w:val="bottom"/>
          </w:tcPr>
          <w:p w14:paraId="0BA7F7D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630" w:type="pct"/>
            <w:shd w:val="clear" w:color="auto" w:fill="FFFFFF"/>
            <w:vAlign w:val="bottom"/>
          </w:tcPr>
          <w:p w14:paraId="45DC8FC2"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4FD2C683" w14:textId="77777777" w:rsidTr="000C7E69">
        <w:trPr>
          <w:trHeight w:val="303"/>
        </w:trPr>
        <w:tc>
          <w:tcPr>
            <w:tcW w:w="1067" w:type="pct"/>
            <w:vMerge/>
            <w:shd w:val="clear" w:color="auto" w:fill="auto"/>
            <w:vAlign w:val="center"/>
          </w:tcPr>
          <w:p w14:paraId="1368949C"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2E19DB8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310755A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(0.002)</w:t>
            </w:r>
          </w:p>
        </w:tc>
        <w:tc>
          <w:tcPr>
            <w:tcW w:w="833" w:type="pct"/>
            <w:shd w:val="clear" w:color="auto" w:fill="FFFFFF"/>
            <w:vAlign w:val="bottom"/>
          </w:tcPr>
          <w:p w14:paraId="016DEDC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(0.024)</w:t>
            </w:r>
          </w:p>
        </w:tc>
        <w:tc>
          <w:tcPr>
            <w:tcW w:w="818" w:type="pct"/>
            <w:shd w:val="clear" w:color="auto" w:fill="FFFFFF"/>
            <w:vAlign w:val="bottom"/>
          </w:tcPr>
          <w:p w14:paraId="71483D7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630" w:type="pct"/>
            <w:shd w:val="clear" w:color="auto" w:fill="FFFFFF"/>
            <w:vAlign w:val="bottom"/>
          </w:tcPr>
          <w:p w14:paraId="7B6AEB53"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1693501A" w14:textId="77777777" w:rsidTr="000C7E69">
        <w:trPr>
          <w:trHeight w:val="303"/>
        </w:trPr>
        <w:tc>
          <w:tcPr>
            <w:tcW w:w="1067" w:type="pct"/>
            <w:vMerge/>
            <w:shd w:val="clear" w:color="auto" w:fill="auto"/>
            <w:vAlign w:val="center"/>
          </w:tcPr>
          <w:p w14:paraId="64167710"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4CE29B1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2C64D25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[0.013]</w:t>
            </w:r>
          </w:p>
        </w:tc>
        <w:tc>
          <w:tcPr>
            <w:tcW w:w="833" w:type="pct"/>
            <w:shd w:val="clear" w:color="auto" w:fill="FFFFFF"/>
            <w:vAlign w:val="bottom"/>
          </w:tcPr>
          <w:p w14:paraId="32E63FA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4624C0A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[0.564]</w:t>
            </w:r>
          </w:p>
        </w:tc>
        <w:tc>
          <w:tcPr>
            <w:tcW w:w="630" w:type="pct"/>
            <w:shd w:val="clear" w:color="auto" w:fill="FFFFFF"/>
            <w:vAlign w:val="bottom"/>
          </w:tcPr>
          <w:p w14:paraId="0AFFE8D1"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57E30AFA" w14:textId="77777777" w:rsidTr="000C7E69">
        <w:trPr>
          <w:trHeight w:val="303"/>
        </w:trPr>
        <w:tc>
          <w:tcPr>
            <w:tcW w:w="1067" w:type="pct"/>
            <w:vMerge w:val="restart"/>
            <w:shd w:val="clear" w:color="auto" w:fill="FFFFFF"/>
          </w:tcPr>
          <w:p w14:paraId="2C74B57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Log_AS</w:t>
            </w:r>
          </w:p>
        </w:tc>
        <w:tc>
          <w:tcPr>
            <w:tcW w:w="834" w:type="pct"/>
            <w:shd w:val="clear" w:color="auto" w:fill="FFFFFF"/>
            <w:vAlign w:val="bottom"/>
          </w:tcPr>
          <w:p w14:paraId="146141D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-0.593</w:t>
            </w:r>
          </w:p>
        </w:tc>
        <w:tc>
          <w:tcPr>
            <w:tcW w:w="818" w:type="pct"/>
            <w:shd w:val="clear" w:color="auto" w:fill="FFFFFF"/>
            <w:vAlign w:val="bottom"/>
          </w:tcPr>
          <w:p w14:paraId="72267DE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10.098</w:t>
            </w:r>
          </w:p>
        </w:tc>
        <w:tc>
          <w:tcPr>
            <w:tcW w:w="833" w:type="pct"/>
            <w:shd w:val="clear" w:color="auto" w:fill="FFFFFF"/>
            <w:vAlign w:val="bottom"/>
          </w:tcPr>
          <w:p w14:paraId="49B93A1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505.690***</w:t>
            </w:r>
          </w:p>
        </w:tc>
        <w:tc>
          <w:tcPr>
            <w:tcW w:w="818" w:type="pct"/>
            <w:shd w:val="clear" w:color="auto" w:fill="FFFFFF"/>
            <w:vAlign w:val="bottom"/>
          </w:tcPr>
          <w:p w14:paraId="61F5AA1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0.417</w:t>
            </w:r>
          </w:p>
        </w:tc>
        <w:tc>
          <w:tcPr>
            <w:tcW w:w="630" w:type="pct"/>
            <w:shd w:val="clear" w:color="auto" w:fill="FFFFFF"/>
            <w:vAlign w:val="bottom"/>
          </w:tcPr>
          <w:p w14:paraId="288A2CB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390.210</w:t>
            </w:r>
          </w:p>
        </w:tc>
      </w:tr>
      <w:tr w:rsidR="00161788" w:rsidRPr="00450FB4" w14:paraId="62F1DC34" w14:textId="77777777" w:rsidTr="000C7E69">
        <w:trPr>
          <w:trHeight w:val="303"/>
        </w:trPr>
        <w:tc>
          <w:tcPr>
            <w:tcW w:w="1067" w:type="pct"/>
            <w:vMerge/>
            <w:shd w:val="clear" w:color="auto" w:fill="auto"/>
            <w:vAlign w:val="center"/>
          </w:tcPr>
          <w:p w14:paraId="3C28FB20"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0B36E07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(1.191)</w:t>
            </w:r>
          </w:p>
        </w:tc>
        <w:tc>
          <w:tcPr>
            <w:tcW w:w="818" w:type="pct"/>
            <w:shd w:val="clear" w:color="auto" w:fill="FFFFFF"/>
            <w:vAlign w:val="bottom"/>
          </w:tcPr>
          <w:p w14:paraId="534D963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(7.663)</w:t>
            </w:r>
          </w:p>
        </w:tc>
        <w:tc>
          <w:tcPr>
            <w:tcW w:w="833" w:type="pct"/>
            <w:shd w:val="clear" w:color="auto" w:fill="FFFFFF"/>
            <w:vAlign w:val="bottom"/>
          </w:tcPr>
          <w:p w14:paraId="628867D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(119.540)</w:t>
            </w:r>
          </w:p>
        </w:tc>
        <w:tc>
          <w:tcPr>
            <w:tcW w:w="818" w:type="pct"/>
            <w:shd w:val="clear" w:color="auto" w:fill="FFFFFF"/>
            <w:vAlign w:val="bottom"/>
          </w:tcPr>
          <w:p w14:paraId="26037A5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(0.313)</w:t>
            </w:r>
          </w:p>
        </w:tc>
        <w:tc>
          <w:tcPr>
            <w:tcW w:w="630" w:type="pct"/>
            <w:shd w:val="clear" w:color="auto" w:fill="FFFFFF"/>
            <w:vAlign w:val="bottom"/>
          </w:tcPr>
          <w:p w14:paraId="6E7A3FE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(335.217)</w:t>
            </w:r>
          </w:p>
        </w:tc>
      </w:tr>
      <w:tr w:rsidR="00161788" w:rsidRPr="00450FB4" w14:paraId="7DD2C93E" w14:textId="77777777" w:rsidTr="000C7E69">
        <w:trPr>
          <w:trHeight w:val="303"/>
        </w:trPr>
        <w:tc>
          <w:tcPr>
            <w:tcW w:w="1067" w:type="pct"/>
            <w:vMerge/>
            <w:shd w:val="clear" w:color="auto" w:fill="auto"/>
            <w:vAlign w:val="center"/>
          </w:tcPr>
          <w:p w14:paraId="739990B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6552279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[0.619]</w:t>
            </w:r>
          </w:p>
        </w:tc>
        <w:tc>
          <w:tcPr>
            <w:tcW w:w="818" w:type="pct"/>
            <w:shd w:val="clear" w:color="auto" w:fill="FFFFFF"/>
            <w:vAlign w:val="bottom"/>
          </w:tcPr>
          <w:p w14:paraId="1BC63ED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[0.188]</w:t>
            </w:r>
          </w:p>
        </w:tc>
        <w:tc>
          <w:tcPr>
            <w:tcW w:w="833" w:type="pct"/>
            <w:shd w:val="clear" w:color="auto" w:fill="FFFFFF"/>
            <w:vAlign w:val="bottom"/>
          </w:tcPr>
          <w:p w14:paraId="1F65E6F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235B882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[0.182]</w:t>
            </w:r>
          </w:p>
        </w:tc>
        <w:tc>
          <w:tcPr>
            <w:tcW w:w="630" w:type="pct"/>
            <w:shd w:val="clear" w:color="auto" w:fill="FFFFFF"/>
            <w:vAlign w:val="bottom"/>
          </w:tcPr>
          <w:p w14:paraId="0982E68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[0.244]</w:t>
            </w:r>
          </w:p>
        </w:tc>
      </w:tr>
      <w:tr w:rsidR="00161788" w:rsidRPr="00450FB4" w14:paraId="7FA1A675" w14:textId="77777777" w:rsidTr="000C7E69">
        <w:trPr>
          <w:trHeight w:val="303"/>
        </w:trPr>
        <w:tc>
          <w:tcPr>
            <w:tcW w:w="1067" w:type="pct"/>
            <w:vMerge w:val="restart"/>
            <w:shd w:val="clear" w:color="auto" w:fill="FFFFFF"/>
          </w:tcPr>
          <w:p w14:paraId="1A7F479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CR</w:t>
            </w:r>
          </w:p>
        </w:tc>
        <w:tc>
          <w:tcPr>
            <w:tcW w:w="834" w:type="pct"/>
            <w:shd w:val="clear" w:color="auto" w:fill="FFFFFF"/>
            <w:vAlign w:val="bottom"/>
          </w:tcPr>
          <w:p w14:paraId="1FE9127E"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18" w:type="pct"/>
            <w:shd w:val="clear" w:color="auto" w:fill="FFFFFF"/>
            <w:vAlign w:val="center"/>
          </w:tcPr>
          <w:p w14:paraId="4B772192"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344FC7E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10.659</w:t>
            </w:r>
          </w:p>
        </w:tc>
        <w:tc>
          <w:tcPr>
            <w:tcW w:w="818" w:type="pct"/>
            <w:shd w:val="clear" w:color="auto" w:fill="FFFFFF"/>
            <w:vAlign w:val="bottom"/>
          </w:tcPr>
          <w:p w14:paraId="73B528BB"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07E88E2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-14.384</w:t>
            </w:r>
          </w:p>
        </w:tc>
      </w:tr>
      <w:tr w:rsidR="00161788" w:rsidRPr="00450FB4" w14:paraId="28E1BA8B" w14:textId="77777777" w:rsidTr="000C7E69">
        <w:trPr>
          <w:trHeight w:val="303"/>
        </w:trPr>
        <w:tc>
          <w:tcPr>
            <w:tcW w:w="1067" w:type="pct"/>
            <w:vMerge/>
            <w:shd w:val="clear" w:color="auto" w:fill="auto"/>
            <w:vAlign w:val="center"/>
          </w:tcPr>
          <w:p w14:paraId="777BDD39"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65E2C453"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18" w:type="pct"/>
            <w:shd w:val="clear" w:color="auto" w:fill="FFFFFF"/>
            <w:vAlign w:val="bottom"/>
          </w:tcPr>
          <w:p w14:paraId="47927E4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5A03CA6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(11.445)</w:t>
            </w:r>
          </w:p>
        </w:tc>
        <w:tc>
          <w:tcPr>
            <w:tcW w:w="818" w:type="pct"/>
            <w:shd w:val="clear" w:color="auto" w:fill="FFFFFF"/>
            <w:vAlign w:val="bottom"/>
          </w:tcPr>
          <w:p w14:paraId="5E79A6DD"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7C03625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11.552</w:t>
            </w:r>
          </w:p>
        </w:tc>
      </w:tr>
      <w:tr w:rsidR="00161788" w:rsidRPr="00450FB4" w14:paraId="5CDBC72A" w14:textId="77777777" w:rsidTr="000C7E69">
        <w:trPr>
          <w:trHeight w:val="303"/>
        </w:trPr>
        <w:tc>
          <w:tcPr>
            <w:tcW w:w="1067" w:type="pct"/>
            <w:vMerge/>
            <w:shd w:val="clear" w:color="auto" w:fill="auto"/>
            <w:vAlign w:val="center"/>
          </w:tcPr>
          <w:p w14:paraId="76BE2CD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4" w:type="pct"/>
            <w:shd w:val="clear" w:color="auto" w:fill="FFFFFF"/>
            <w:vAlign w:val="bottom"/>
          </w:tcPr>
          <w:p w14:paraId="78CB9689"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18" w:type="pct"/>
            <w:shd w:val="clear" w:color="auto" w:fill="FFFFFF"/>
            <w:vAlign w:val="bottom"/>
          </w:tcPr>
          <w:p w14:paraId="355B02F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3" w:type="pct"/>
            <w:shd w:val="clear" w:color="auto" w:fill="FFFFFF"/>
            <w:vAlign w:val="bottom"/>
          </w:tcPr>
          <w:p w14:paraId="7F8DF86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0.352</w:t>
            </w:r>
          </w:p>
        </w:tc>
        <w:tc>
          <w:tcPr>
            <w:tcW w:w="818" w:type="pct"/>
            <w:shd w:val="clear" w:color="auto" w:fill="FFFFFF"/>
            <w:vAlign w:val="bottom"/>
          </w:tcPr>
          <w:p w14:paraId="047E66A0"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630" w:type="pct"/>
            <w:shd w:val="clear" w:color="auto" w:fill="FFFFFF"/>
            <w:vAlign w:val="bottom"/>
          </w:tcPr>
          <w:p w14:paraId="0033C36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0.213</w:t>
            </w:r>
          </w:p>
        </w:tc>
      </w:tr>
      <w:tr w:rsidR="00161788" w:rsidRPr="00450FB4" w14:paraId="3769F362" w14:textId="77777777" w:rsidTr="000C7E69">
        <w:trPr>
          <w:trHeight w:val="303"/>
        </w:trPr>
        <w:tc>
          <w:tcPr>
            <w:tcW w:w="1067" w:type="pct"/>
            <w:shd w:val="clear" w:color="auto" w:fill="FFFFFF"/>
            <w:vAlign w:val="bottom"/>
          </w:tcPr>
          <w:p w14:paraId="76748F6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Sargan Test</w:t>
            </w:r>
          </w:p>
        </w:tc>
        <w:tc>
          <w:tcPr>
            <w:tcW w:w="834" w:type="pct"/>
            <w:shd w:val="clear" w:color="auto" w:fill="FFFFFF"/>
            <w:vAlign w:val="bottom"/>
          </w:tcPr>
          <w:p w14:paraId="70AED91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0.074</w:t>
            </w:r>
          </w:p>
        </w:tc>
        <w:tc>
          <w:tcPr>
            <w:tcW w:w="818" w:type="pct"/>
            <w:shd w:val="clear" w:color="auto" w:fill="FFFFFF"/>
            <w:vAlign w:val="center"/>
          </w:tcPr>
          <w:p w14:paraId="7ECAD2F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0.002</w:t>
            </w:r>
          </w:p>
        </w:tc>
        <w:tc>
          <w:tcPr>
            <w:tcW w:w="833" w:type="pct"/>
            <w:shd w:val="clear" w:color="auto" w:fill="FFFFFF"/>
            <w:vAlign w:val="center"/>
          </w:tcPr>
          <w:p w14:paraId="460C53E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0.046</w:t>
            </w:r>
          </w:p>
        </w:tc>
        <w:tc>
          <w:tcPr>
            <w:tcW w:w="818" w:type="pct"/>
            <w:shd w:val="clear" w:color="auto" w:fill="FFFFFF"/>
            <w:vAlign w:val="bottom"/>
          </w:tcPr>
          <w:p w14:paraId="61FC913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0.007</w:t>
            </w:r>
          </w:p>
        </w:tc>
        <w:tc>
          <w:tcPr>
            <w:tcW w:w="630" w:type="pct"/>
            <w:shd w:val="clear" w:color="auto" w:fill="FFFFFF"/>
            <w:vAlign w:val="bottom"/>
          </w:tcPr>
          <w:p w14:paraId="315C27A7"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4F199333" w14:textId="77777777" w:rsidTr="000C7E69">
        <w:trPr>
          <w:trHeight w:val="303"/>
        </w:trPr>
        <w:tc>
          <w:tcPr>
            <w:tcW w:w="1067" w:type="pct"/>
            <w:shd w:val="clear" w:color="auto" w:fill="FFFFFF"/>
            <w:vAlign w:val="bottom"/>
          </w:tcPr>
          <w:p w14:paraId="76AAB58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Autocorrelation test-AR (1)</w:t>
            </w:r>
          </w:p>
        </w:tc>
        <w:tc>
          <w:tcPr>
            <w:tcW w:w="834" w:type="pct"/>
            <w:shd w:val="clear" w:color="auto" w:fill="FFFFFF"/>
            <w:vAlign w:val="bottom"/>
          </w:tcPr>
          <w:p w14:paraId="0E035F2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0.123</w:t>
            </w:r>
          </w:p>
        </w:tc>
        <w:tc>
          <w:tcPr>
            <w:tcW w:w="818" w:type="pct"/>
            <w:shd w:val="clear" w:color="auto" w:fill="FFFFFF"/>
            <w:vAlign w:val="bottom"/>
          </w:tcPr>
          <w:p w14:paraId="326623E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0.163</w:t>
            </w:r>
          </w:p>
        </w:tc>
        <w:tc>
          <w:tcPr>
            <w:tcW w:w="833" w:type="pct"/>
            <w:shd w:val="clear" w:color="auto" w:fill="FFFFFF"/>
            <w:vAlign w:val="bottom"/>
          </w:tcPr>
          <w:p w14:paraId="137CFCE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0.123</w:t>
            </w:r>
          </w:p>
        </w:tc>
        <w:tc>
          <w:tcPr>
            <w:tcW w:w="818" w:type="pct"/>
            <w:shd w:val="clear" w:color="auto" w:fill="FFFFFF"/>
            <w:vAlign w:val="bottom"/>
          </w:tcPr>
          <w:p w14:paraId="3CFE566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0.550</w:t>
            </w:r>
          </w:p>
        </w:tc>
        <w:tc>
          <w:tcPr>
            <w:tcW w:w="630" w:type="pct"/>
            <w:shd w:val="clear" w:color="auto" w:fill="FFFFFF"/>
            <w:vAlign w:val="bottom"/>
          </w:tcPr>
          <w:p w14:paraId="0444666A"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5B348031" w14:textId="77777777" w:rsidTr="000C7E69">
        <w:trPr>
          <w:trHeight w:val="303"/>
        </w:trPr>
        <w:tc>
          <w:tcPr>
            <w:tcW w:w="1067" w:type="pct"/>
            <w:shd w:val="clear" w:color="auto" w:fill="FFFFFF"/>
            <w:vAlign w:val="center"/>
          </w:tcPr>
          <w:p w14:paraId="2330E93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Autocorrelation test-AR (2)</w:t>
            </w:r>
          </w:p>
        </w:tc>
        <w:tc>
          <w:tcPr>
            <w:tcW w:w="834" w:type="pct"/>
            <w:shd w:val="clear" w:color="auto" w:fill="FFFFFF"/>
            <w:vAlign w:val="bottom"/>
          </w:tcPr>
          <w:p w14:paraId="266EB23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0.264</w:t>
            </w:r>
          </w:p>
        </w:tc>
        <w:tc>
          <w:tcPr>
            <w:tcW w:w="818" w:type="pct"/>
            <w:shd w:val="clear" w:color="auto" w:fill="FFFFFF"/>
            <w:vAlign w:val="bottom"/>
          </w:tcPr>
          <w:p w14:paraId="7FB8221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0.321</w:t>
            </w:r>
          </w:p>
        </w:tc>
        <w:tc>
          <w:tcPr>
            <w:tcW w:w="833" w:type="pct"/>
            <w:shd w:val="clear" w:color="auto" w:fill="FFFFFF"/>
            <w:vAlign w:val="bottom"/>
          </w:tcPr>
          <w:p w14:paraId="560120C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0.171</w:t>
            </w:r>
          </w:p>
        </w:tc>
        <w:tc>
          <w:tcPr>
            <w:tcW w:w="818" w:type="pct"/>
            <w:shd w:val="clear" w:color="auto" w:fill="FFFFFF"/>
            <w:vAlign w:val="bottom"/>
          </w:tcPr>
          <w:p w14:paraId="04534A5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0.287</w:t>
            </w:r>
          </w:p>
        </w:tc>
        <w:tc>
          <w:tcPr>
            <w:tcW w:w="630" w:type="pct"/>
            <w:shd w:val="clear" w:color="auto" w:fill="FFFFFF"/>
            <w:vAlign w:val="bottom"/>
          </w:tcPr>
          <w:p w14:paraId="0A578921"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545985DE" w14:textId="77777777" w:rsidTr="000C7E69">
        <w:trPr>
          <w:trHeight w:val="303"/>
        </w:trPr>
        <w:tc>
          <w:tcPr>
            <w:tcW w:w="1067" w:type="pct"/>
            <w:shd w:val="clear" w:color="auto" w:fill="FFFFFF"/>
            <w:vAlign w:val="bottom"/>
          </w:tcPr>
          <w:p w14:paraId="0826C36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Wald test for coefficient</w:t>
            </w:r>
          </w:p>
        </w:tc>
        <w:tc>
          <w:tcPr>
            <w:tcW w:w="834" w:type="pct"/>
            <w:shd w:val="clear" w:color="auto" w:fill="FFFFFF"/>
            <w:vAlign w:val="bottom"/>
          </w:tcPr>
          <w:p w14:paraId="5222F39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21E822B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0.038</w:t>
            </w:r>
          </w:p>
        </w:tc>
        <w:tc>
          <w:tcPr>
            <w:tcW w:w="833" w:type="pct"/>
            <w:shd w:val="clear" w:color="auto" w:fill="FFFFFF"/>
            <w:vAlign w:val="bottom"/>
          </w:tcPr>
          <w:p w14:paraId="618913D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818" w:type="pct"/>
            <w:shd w:val="clear" w:color="auto" w:fill="FFFFFF"/>
            <w:vAlign w:val="bottom"/>
          </w:tcPr>
          <w:p w14:paraId="62CBB40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0.059</w:t>
            </w:r>
          </w:p>
        </w:tc>
        <w:tc>
          <w:tcPr>
            <w:tcW w:w="630" w:type="pct"/>
            <w:shd w:val="clear" w:color="auto" w:fill="FFFFFF"/>
            <w:vAlign w:val="bottom"/>
          </w:tcPr>
          <w:p w14:paraId="3BC6CAA9" w14:textId="77777777" w:rsidR="00A95558" w:rsidRPr="00450FB4" w:rsidRDefault="00A95558" w:rsidP="00240B98">
            <w:pPr>
              <w:widowControl/>
              <w:suppressAutoHyphens/>
              <w:autoSpaceDE/>
              <w:autoSpaceDN/>
              <w:jc w:val="both"/>
              <w:rPr>
                <w:color w:val="000000"/>
                <w:kern w:val="1"/>
                <w:sz w:val="20"/>
                <w:szCs w:val="20"/>
                <w:lang w:eastAsia="ar-SA"/>
              </w:rPr>
            </w:pPr>
          </w:p>
        </w:tc>
      </w:tr>
    </w:tbl>
    <w:p w14:paraId="097172A3" w14:textId="77777777" w:rsidR="00A95558" w:rsidRPr="00450FB4" w:rsidRDefault="00D67080" w:rsidP="00A95558">
      <w:pPr>
        <w:widowControl/>
        <w:tabs>
          <w:tab w:val="left" w:pos="4026"/>
        </w:tabs>
        <w:suppressAutoHyphens/>
        <w:autoSpaceDE/>
        <w:autoSpaceDN/>
        <w:jc w:val="both"/>
        <w:rPr>
          <w:color w:val="000000"/>
          <w:kern w:val="1"/>
          <w:sz w:val="20"/>
          <w:szCs w:val="20"/>
          <w:lang w:eastAsia="ar-SA"/>
        </w:rPr>
      </w:pPr>
      <w:r w:rsidRPr="00450FB4">
        <w:rPr>
          <w:color w:val="000000"/>
          <w:kern w:val="1"/>
          <w:sz w:val="20"/>
          <w:szCs w:val="20"/>
          <w:lang w:eastAsia="ar-SA"/>
        </w:rPr>
        <w:t>Signif. codes:  0 ‘***’ 0.001 ‘**’ 0.01 ‘*’ 0.05 ‘.’ 0.1 ‘ ’ 1; p-values are in square brackets; error terms are in parenthesis brackets.</w:t>
      </w:r>
    </w:p>
    <w:p w14:paraId="60479AA6" w14:textId="77777777" w:rsidR="00240B98" w:rsidRPr="00450FB4" w:rsidRDefault="00240B98" w:rsidP="00A95558">
      <w:pPr>
        <w:widowControl/>
        <w:tabs>
          <w:tab w:val="left" w:pos="4026"/>
        </w:tabs>
        <w:suppressAutoHyphens/>
        <w:autoSpaceDE/>
        <w:autoSpaceDN/>
        <w:jc w:val="both"/>
        <w:rPr>
          <w:color w:val="000000"/>
          <w:kern w:val="1"/>
          <w:sz w:val="20"/>
          <w:szCs w:val="20"/>
          <w:lang w:eastAsia="ar-SA"/>
        </w:rPr>
      </w:pPr>
    </w:p>
    <w:p w14:paraId="3604BE6D" w14:textId="77777777" w:rsidR="00A95558" w:rsidRPr="00450FB4" w:rsidRDefault="00D67080" w:rsidP="00A95558">
      <w:pPr>
        <w:widowControl/>
        <w:tabs>
          <w:tab w:val="left" w:pos="4026"/>
        </w:tabs>
        <w:suppressAutoHyphens/>
        <w:autoSpaceDE/>
        <w:autoSpaceDN/>
        <w:spacing w:before="240"/>
        <w:jc w:val="both"/>
        <w:rPr>
          <w:b/>
          <w:i/>
          <w:iCs/>
          <w:color w:val="000000"/>
          <w:kern w:val="1"/>
          <w:sz w:val="24"/>
          <w:szCs w:val="24"/>
          <w:lang w:eastAsia="ar-SA"/>
        </w:rPr>
      </w:pPr>
      <w:r w:rsidRPr="00450FB4">
        <w:rPr>
          <w:b/>
          <w:i/>
          <w:iCs/>
          <w:color w:val="000000"/>
          <w:kern w:val="1"/>
          <w:sz w:val="24"/>
          <w:szCs w:val="24"/>
          <w:lang w:eastAsia="ar-SA"/>
        </w:rPr>
        <w:t>Diagnostic Tests</w:t>
      </w:r>
    </w:p>
    <w:p w14:paraId="6F0A398E" w14:textId="77777777" w:rsidR="00A95558" w:rsidRPr="00450FB4" w:rsidRDefault="00D67080" w:rsidP="00A95558">
      <w:pPr>
        <w:widowControl/>
        <w:tabs>
          <w:tab w:val="left" w:pos="4026"/>
        </w:tabs>
        <w:suppressAutoHyphens/>
        <w:autoSpaceDE/>
        <w:autoSpaceDN/>
        <w:jc w:val="both"/>
        <w:rPr>
          <w:color w:val="000000"/>
          <w:kern w:val="1"/>
          <w:sz w:val="24"/>
          <w:szCs w:val="24"/>
          <w:lang w:eastAsia="ar-SA"/>
        </w:rPr>
      </w:pPr>
      <w:r w:rsidRPr="00450FB4">
        <w:rPr>
          <w:color w:val="000000"/>
          <w:kern w:val="1"/>
          <w:sz w:val="24"/>
          <w:szCs w:val="24"/>
          <w:lang w:eastAsia="ar-SA"/>
        </w:rPr>
        <w:t>The Sargan test for overidentifying restrictions suggests that the instruments used in the models are valid, as indicated by the non-significant p-values across all models.</w:t>
      </w:r>
    </w:p>
    <w:p w14:paraId="764EF43E"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color w:val="000000"/>
          <w:kern w:val="1"/>
          <w:sz w:val="24"/>
          <w:szCs w:val="24"/>
          <w:lang w:eastAsia="ar-SA"/>
        </w:rPr>
        <w:t>The autocorrelation tests (AR (1) and AR (2)) show that there is no second-order serial correlation in the error terms for most models, ensuring the reliability of the GMM estimators.</w:t>
      </w:r>
    </w:p>
    <w:p w14:paraId="4DFCF1DF"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color w:val="000000"/>
          <w:kern w:val="1"/>
          <w:sz w:val="24"/>
          <w:szCs w:val="24"/>
          <w:lang w:eastAsia="ar-SA"/>
        </w:rPr>
        <w:t>The Wald test for the coefficients confirms the joint significance of the explanatory variables in the models.</w:t>
      </w:r>
    </w:p>
    <w:p w14:paraId="7BD7E1E2"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color w:val="000000"/>
          <w:kern w:val="1"/>
          <w:sz w:val="24"/>
          <w:szCs w:val="24"/>
          <w:lang w:eastAsia="ar-SA"/>
        </w:rPr>
        <w:lastRenderedPageBreak/>
        <w:t>In summary, the analysis indicates that mergers significantly impact market-based performance (ASP) but do not significantly impact other financial performance metrics such as ROA, NPM, CR, and FL. However, other variables like NPM, CR, and asset size (Log_AS) significantly influence some performance metrics, confirming the partial acceptance of some hypotheses.</w:t>
      </w:r>
    </w:p>
    <w:p w14:paraId="24018E32" w14:textId="77777777" w:rsidR="00A95558" w:rsidRPr="00450FB4" w:rsidRDefault="00A95558" w:rsidP="00A95558">
      <w:pPr>
        <w:widowControl/>
        <w:suppressAutoHyphens/>
        <w:autoSpaceDE/>
        <w:autoSpaceDN/>
        <w:spacing w:after="160"/>
        <w:ind w:left="720" w:hanging="720"/>
        <w:jc w:val="both"/>
        <w:rPr>
          <w:bCs/>
          <w:color w:val="010205"/>
          <w:kern w:val="1"/>
          <w:sz w:val="24"/>
          <w:szCs w:val="24"/>
          <w:lang w:eastAsia="ar-SA"/>
        </w:rPr>
      </w:pPr>
    </w:p>
    <w:p w14:paraId="6AB8C7A3" w14:textId="77777777" w:rsidR="00A95558" w:rsidRPr="00450FB4" w:rsidRDefault="00D67080" w:rsidP="00240B98">
      <w:pPr>
        <w:widowControl/>
        <w:numPr>
          <w:ilvl w:val="2"/>
          <w:numId w:val="18"/>
        </w:num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after="160"/>
        <w:ind w:left="720"/>
        <w:jc w:val="both"/>
        <w:rPr>
          <w:i/>
          <w:iCs/>
          <w:color w:val="010205"/>
          <w:kern w:val="1"/>
          <w:sz w:val="24"/>
          <w:szCs w:val="24"/>
          <w:lang w:eastAsia="ar-SA"/>
        </w:rPr>
      </w:pPr>
      <w:bookmarkStart w:id="33" w:name="_Hlk173060887"/>
      <w:r w:rsidRPr="00450FB4">
        <w:rPr>
          <w:i/>
          <w:iCs/>
          <w:color w:val="000000"/>
          <w:kern w:val="1"/>
          <w:sz w:val="24"/>
          <w:szCs w:val="24"/>
          <w:lang w:eastAsia="ar-SA"/>
        </w:rPr>
        <w:t xml:space="preserve">Impact of Mergers and Acquisitions on Financial Performance Metrics of Acquiring Firms in India Based on Iterative Generalized Method of Moments </w:t>
      </w:r>
    </w:p>
    <w:p w14:paraId="4DCFB040" w14:textId="77777777" w:rsidR="00A95558" w:rsidRPr="00450FB4" w:rsidRDefault="00A95558" w:rsidP="00A95558">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720"/>
        <w:jc w:val="both"/>
        <w:rPr>
          <w:bCs/>
          <w:color w:val="010205"/>
          <w:kern w:val="1"/>
          <w:sz w:val="24"/>
          <w:szCs w:val="24"/>
          <w:lang w:eastAsia="ar-SA"/>
        </w:rPr>
      </w:pPr>
    </w:p>
    <w:p w14:paraId="33A960A4" w14:textId="77777777" w:rsidR="00A95558" w:rsidRPr="00450FB4" w:rsidRDefault="00D67080" w:rsidP="00A95558">
      <w:pPr>
        <w:widowControl/>
        <w:tabs>
          <w:tab w:val="left" w:pos="916"/>
          <w:tab w:val="left" w:pos="1832"/>
          <w:tab w:val="left" w:pos="2748"/>
          <w:tab w:val="left" w:pos="3664"/>
          <w:tab w:val="left" w:pos="40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color w:val="000000"/>
          <w:kern w:val="1"/>
          <w:sz w:val="24"/>
          <w:szCs w:val="24"/>
          <w:lang w:eastAsia="ar-SA"/>
        </w:rPr>
      </w:pPr>
      <w:bookmarkStart w:id="34" w:name="_Hlk173085525"/>
      <w:bookmarkEnd w:id="33"/>
      <w:r w:rsidRPr="00450FB4">
        <w:rPr>
          <w:color w:val="000000"/>
          <w:kern w:val="1"/>
          <w:sz w:val="24"/>
          <w:szCs w:val="24"/>
          <w:lang w:eastAsia="ar-SA"/>
        </w:rPr>
        <w:t xml:space="preserve">Herein, we examine the impact of mergers and acquisitions (M&amp;A) between fintech firms and acquiring firms on various financial performance metrics of the acquiring firms in India using the Iterative Generalized Method of Moments, as shown in Table 7. </w:t>
      </w:r>
    </w:p>
    <w:bookmarkEnd w:id="34"/>
    <w:p w14:paraId="03ED41CF"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b/>
          <w:bCs/>
          <w:color w:val="000000"/>
          <w:kern w:val="1"/>
          <w:sz w:val="24"/>
          <w:szCs w:val="24"/>
          <w:lang w:eastAsia="ar-SA"/>
        </w:rPr>
        <w:t>Model 1: Operating Performance (ROA):</w:t>
      </w:r>
      <w:r w:rsidRPr="00450FB4">
        <w:rPr>
          <w:color w:val="000000"/>
          <w:kern w:val="1"/>
          <w:sz w:val="24"/>
          <w:szCs w:val="24"/>
          <w:lang w:eastAsia="ar-SA"/>
        </w:rPr>
        <w:t xml:space="preserve"> The results indicate that the merger variable (α Merger) has a negative coefficient (-8.58) but is not statistically significant (p-value 0.036). Net Profit Margin (NPM) positively impacts ROA, with a coefficient of 0.46, and is highly significant (p-value 0.000). Financial leverage (FL) and log of asset size (Log-AS) also impact ROA.</w:t>
      </w:r>
    </w:p>
    <w:p w14:paraId="40024797"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b/>
          <w:bCs/>
          <w:color w:val="000000"/>
          <w:kern w:val="1"/>
          <w:sz w:val="24"/>
          <w:szCs w:val="24"/>
          <w:lang w:eastAsia="ar-SA"/>
        </w:rPr>
        <w:t>Model 2: Operating Performance (NPM):</w:t>
      </w:r>
      <w:r w:rsidRPr="00450FB4">
        <w:rPr>
          <w:color w:val="000000"/>
          <w:kern w:val="1"/>
          <w:sz w:val="24"/>
          <w:szCs w:val="24"/>
          <w:lang w:eastAsia="ar-SA"/>
        </w:rPr>
        <w:t xml:space="preserve"> The coefficient for the merger variable is -1.05, which is not significant (p-value 0.80). FL has a negative coefficient (-0.0037) with marginal significance (p-value = 0.0016), while log of asset size (Log-AS) has a positive impact on NPM (coefficient 1.15) but is not statistically significant (p-value 0.0031).</w:t>
      </w:r>
    </w:p>
    <w:p w14:paraId="328137D5"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b/>
          <w:bCs/>
          <w:color w:val="000000"/>
          <w:kern w:val="1"/>
          <w:sz w:val="24"/>
          <w:szCs w:val="24"/>
          <w:lang w:eastAsia="ar-SA"/>
        </w:rPr>
        <w:t xml:space="preserve">Model 3: Market-based Performance (ASP): </w:t>
      </w:r>
      <w:r w:rsidRPr="00450FB4">
        <w:rPr>
          <w:color w:val="000000"/>
          <w:kern w:val="1"/>
          <w:sz w:val="24"/>
          <w:szCs w:val="24"/>
          <w:lang w:eastAsia="ar-SA"/>
        </w:rPr>
        <w:t>The merger variable significantly impacts the ASP, with a positive coefficient (108.94) but not a significant p-value (0.0.50). NPM and FL are not significant, but the log of asset size (Log-AS) significantly impacts ASP with a significant positive coefficient (30.35) and a p-value of 0.0036.</w:t>
      </w:r>
    </w:p>
    <w:p w14:paraId="2247C743"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b/>
          <w:bCs/>
          <w:color w:val="000000"/>
          <w:kern w:val="1"/>
          <w:sz w:val="24"/>
          <w:szCs w:val="24"/>
          <w:lang w:eastAsia="ar-SA"/>
        </w:rPr>
        <w:t>Model 4: Liquidity (CR):</w:t>
      </w:r>
      <w:r w:rsidRPr="00450FB4">
        <w:rPr>
          <w:color w:val="000000"/>
          <w:kern w:val="1"/>
          <w:sz w:val="24"/>
          <w:szCs w:val="24"/>
          <w:lang w:eastAsia="ar-SA"/>
        </w:rPr>
        <w:t xml:space="preserve"> The merger variable has a positive coefficient (4.73) with significance (p-value = 0.00). Financial leverage (FL) significantly negatively impacts CR (coefficient = -0.004, p-value = 0.14). Log-AS has a negative coefficient with a significant value at p-value = 0.00.</w:t>
      </w:r>
    </w:p>
    <w:p w14:paraId="36B429DC" w14:textId="77777777" w:rsidR="00A95558" w:rsidRPr="00450FB4" w:rsidRDefault="00D67080" w:rsidP="00A95558">
      <w:pPr>
        <w:widowControl/>
        <w:tabs>
          <w:tab w:val="left" w:pos="4026"/>
        </w:tabs>
        <w:suppressAutoHyphens/>
        <w:autoSpaceDE/>
        <w:autoSpaceDN/>
        <w:spacing w:before="240"/>
        <w:jc w:val="both"/>
        <w:rPr>
          <w:color w:val="000000"/>
          <w:kern w:val="1"/>
          <w:sz w:val="24"/>
          <w:szCs w:val="24"/>
          <w:lang w:eastAsia="ar-SA"/>
        </w:rPr>
      </w:pPr>
      <w:r w:rsidRPr="00450FB4">
        <w:rPr>
          <w:b/>
          <w:bCs/>
          <w:color w:val="000000"/>
          <w:kern w:val="1"/>
          <w:sz w:val="24"/>
          <w:szCs w:val="24"/>
          <w:lang w:eastAsia="ar-SA"/>
        </w:rPr>
        <w:t>Model 5: Financial Leverage (FL):</w:t>
      </w:r>
      <w:r w:rsidRPr="00450FB4">
        <w:rPr>
          <w:color w:val="000000"/>
          <w:kern w:val="1"/>
          <w:sz w:val="24"/>
          <w:szCs w:val="24"/>
          <w:lang w:eastAsia="ar-SA"/>
        </w:rPr>
        <w:t xml:space="preserve"> The merger variable has a positive coefficient (25.07) but is not statistically significant (p-value 0.47). CR has a </w:t>
      </w:r>
      <w:r w:rsidRPr="00450FB4">
        <w:rPr>
          <w:color w:val="000000"/>
          <w:kern w:val="1"/>
          <w:sz w:val="24"/>
          <w:szCs w:val="24"/>
          <w:lang w:eastAsia="ar-SA"/>
        </w:rPr>
        <w:lastRenderedPageBreak/>
        <w:t>positive and significant impact on FL (coefficient 34.61, p-value 0.00), while the log of asset size (Log-AS) positively impacts FL with marginal significance (coefficient 8.92, p-value 0.00).</w:t>
      </w:r>
    </w:p>
    <w:p w14:paraId="38B6B291" w14:textId="77777777" w:rsidR="00A95558" w:rsidRPr="00450FB4" w:rsidRDefault="00D67080" w:rsidP="00A95558">
      <w:pPr>
        <w:widowControl/>
        <w:tabs>
          <w:tab w:val="left" w:pos="916"/>
          <w:tab w:val="left" w:pos="1832"/>
          <w:tab w:val="left" w:pos="2748"/>
          <w:tab w:val="left" w:pos="3664"/>
          <w:tab w:val="left" w:pos="40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240"/>
        <w:jc w:val="center"/>
        <w:rPr>
          <w:b/>
          <w:bCs/>
          <w:color w:val="000000"/>
          <w:kern w:val="1"/>
          <w:sz w:val="24"/>
          <w:szCs w:val="24"/>
          <w:lang w:eastAsia="ar-SA"/>
        </w:rPr>
      </w:pPr>
      <w:r w:rsidRPr="00450FB4">
        <w:rPr>
          <w:b/>
          <w:bCs/>
          <w:color w:val="000000"/>
          <w:kern w:val="1"/>
          <w:sz w:val="24"/>
          <w:szCs w:val="24"/>
          <w:lang w:eastAsia="ar-SA"/>
        </w:rPr>
        <w:t xml:space="preserve">Table No 7: </w:t>
      </w:r>
      <w:bookmarkStart w:id="35" w:name="_Hlk173060709"/>
      <w:r w:rsidRPr="00450FB4">
        <w:rPr>
          <w:b/>
          <w:bCs/>
          <w:color w:val="000000"/>
          <w:kern w:val="1"/>
          <w:sz w:val="24"/>
          <w:szCs w:val="24"/>
          <w:lang w:eastAsia="ar-SA"/>
        </w:rPr>
        <w:t>Iterative Generalized Method of Moments</w:t>
      </w:r>
      <w:bookmarkEnd w:id="35"/>
    </w:p>
    <w:tbl>
      <w:tblPr>
        <w:tblW w:w="5000" w:type="pct"/>
        <w:tblBorders>
          <w:top w:val="single" w:sz="4" w:space="0" w:color="auto"/>
          <w:bottom w:val="single" w:sz="4" w:space="0" w:color="auto"/>
        </w:tblBorders>
        <w:tblLook w:val="0000" w:firstRow="0" w:lastRow="0" w:firstColumn="0" w:lastColumn="0" w:noHBand="0" w:noVBand="0"/>
      </w:tblPr>
      <w:tblGrid>
        <w:gridCol w:w="1382"/>
        <w:gridCol w:w="1287"/>
        <w:gridCol w:w="1287"/>
        <w:gridCol w:w="1289"/>
        <w:gridCol w:w="1289"/>
        <w:gridCol w:w="1166"/>
      </w:tblGrid>
      <w:tr w:rsidR="00161788" w:rsidRPr="00450FB4" w14:paraId="7230AC08" w14:textId="77777777" w:rsidTr="00240B98">
        <w:trPr>
          <w:trHeight w:val="206"/>
        </w:trPr>
        <w:tc>
          <w:tcPr>
            <w:tcW w:w="897" w:type="pct"/>
            <w:vMerge w:val="restart"/>
            <w:shd w:val="clear" w:color="auto" w:fill="FFFFFF"/>
            <w:vAlign w:val="bottom"/>
          </w:tcPr>
          <w:p w14:paraId="53ED2FC1"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 </w:t>
            </w:r>
          </w:p>
          <w:p w14:paraId="4D4DD91A"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Explanatory Variable</w:t>
            </w:r>
          </w:p>
        </w:tc>
        <w:tc>
          <w:tcPr>
            <w:tcW w:w="835" w:type="pct"/>
            <w:tcBorders>
              <w:top w:val="single" w:sz="4" w:space="0" w:color="auto"/>
              <w:bottom w:val="single" w:sz="4" w:space="0" w:color="auto"/>
            </w:tcBorders>
            <w:shd w:val="clear" w:color="auto" w:fill="FFFFFF"/>
            <w:vAlign w:val="bottom"/>
          </w:tcPr>
          <w:p w14:paraId="3E8E9A0E"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1</w:t>
            </w:r>
          </w:p>
        </w:tc>
        <w:tc>
          <w:tcPr>
            <w:tcW w:w="836" w:type="pct"/>
            <w:tcBorders>
              <w:top w:val="single" w:sz="4" w:space="0" w:color="auto"/>
              <w:bottom w:val="single" w:sz="4" w:space="0" w:color="auto"/>
            </w:tcBorders>
            <w:shd w:val="clear" w:color="auto" w:fill="FFFFFF"/>
            <w:vAlign w:val="bottom"/>
          </w:tcPr>
          <w:p w14:paraId="7FB8DC3B"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2</w:t>
            </w:r>
          </w:p>
        </w:tc>
        <w:tc>
          <w:tcPr>
            <w:tcW w:w="837" w:type="pct"/>
            <w:tcBorders>
              <w:top w:val="single" w:sz="4" w:space="0" w:color="auto"/>
              <w:bottom w:val="single" w:sz="4" w:space="0" w:color="auto"/>
            </w:tcBorders>
            <w:shd w:val="clear" w:color="auto" w:fill="FFFFFF"/>
            <w:vAlign w:val="bottom"/>
          </w:tcPr>
          <w:p w14:paraId="71E5B8C5"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3</w:t>
            </w:r>
          </w:p>
        </w:tc>
        <w:tc>
          <w:tcPr>
            <w:tcW w:w="837" w:type="pct"/>
            <w:tcBorders>
              <w:top w:val="single" w:sz="4" w:space="0" w:color="auto"/>
              <w:bottom w:val="single" w:sz="4" w:space="0" w:color="auto"/>
            </w:tcBorders>
            <w:shd w:val="clear" w:color="auto" w:fill="FFFFFF"/>
            <w:vAlign w:val="bottom"/>
          </w:tcPr>
          <w:p w14:paraId="14EE48CB"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4</w:t>
            </w:r>
          </w:p>
        </w:tc>
        <w:tc>
          <w:tcPr>
            <w:tcW w:w="757" w:type="pct"/>
            <w:tcBorders>
              <w:top w:val="single" w:sz="4" w:space="0" w:color="auto"/>
              <w:bottom w:val="single" w:sz="4" w:space="0" w:color="auto"/>
            </w:tcBorders>
            <w:shd w:val="clear" w:color="auto" w:fill="FFFFFF"/>
            <w:vAlign w:val="bottom"/>
          </w:tcPr>
          <w:p w14:paraId="146B448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b/>
                <w:bCs/>
                <w:color w:val="000000"/>
                <w:kern w:val="1"/>
                <w:sz w:val="20"/>
                <w:szCs w:val="20"/>
                <w:lang w:eastAsia="ar-SA"/>
              </w:rPr>
              <w:t>Model 5</w:t>
            </w:r>
          </w:p>
        </w:tc>
      </w:tr>
      <w:tr w:rsidR="00161788" w:rsidRPr="00450FB4" w14:paraId="4EC19988" w14:textId="77777777" w:rsidTr="00240B98">
        <w:trPr>
          <w:trHeight w:val="351"/>
        </w:trPr>
        <w:tc>
          <w:tcPr>
            <w:tcW w:w="897" w:type="pct"/>
            <w:vMerge/>
            <w:tcBorders>
              <w:bottom w:val="single" w:sz="4" w:space="0" w:color="auto"/>
            </w:tcBorders>
            <w:shd w:val="clear" w:color="auto" w:fill="FFFFFF"/>
            <w:vAlign w:val="bottom"/>
          </w:tcPr>
          <w:p w14:paraId="5044A990" w14:textId="77777777" w:rsidR="00A95558" w:rsidRPr="00450FB4" w:rsidRDefault="00A95558" w:rsidP="00240B98">
            <w:pPr>
              <w:widowControl/>
              <w:suppressAutoHyphens/>
              <w:autoSpaceDE/>
              <w:autoSpaceDN/>
              <w:jc w:val="both"/>
              <w:rPr>
                <w:b/>
                <w:bCs/>
                <w:color w:val="000000"/>
                <w:kern w:val="1"/>
                <w:sz w:val="20"/>
                <w:szCs w:val="20"/>
                <w:lang w:eastAsia="ar-SA"/>
              </w:rPr>
            </w:pPr>
          </w:p>
        </w:tc>
        <w:tc>
          <w:tcPr>
            <w:tcW w:w="835" w:type="pct"/>
            <w:tcBorders>
              <w:top w:val="single" w:sz="4" w:space="0" w:color="auto"/>
              <w:bottom w:val="single" w:sz="4" w:space="0" w:color="auto"/>
            </w:tcBorders>
            <w:shd w:val="clear" w:color="auto" w:fill="FFFFFF"/>
            <w:vAlign w:val="bottom"/>
          </w:tcPr>
          <w:p w14:paraId="7529E07C"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ROA</w:t>
            </w:r>
          </w:p>
        </w:tc>
        <w:tc>
          <w:tcPr>
            <w:tcW w:w="836" w:type="pct"/>
            <w:tcBorders>
              <w:top w:val="single" w:sz="4" w:space="0" w:color="auto"/>
              <w:bottom w:val="single" w:sz="4" w:space="0" w:color="auto"/>
            </w:tcBorders>
            <w:shd w:val="clear" w:color="auto" w:fill="FFFFFF"/>
            <w:vAlign w:val="bottom"/>
          </w:tcPr>
          <w:p w14:paraId="6295F9D1"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NPM</w:t>
            </w:r>
          </w:p>
        </w:tc>
        <w:tc>
          <w:tcPr>
            <w:tcW w:w="837" w:type="pct"/>
            <w:tcBorders>
              <w:top w:val="single" w:sz="4" w:space="0" w:color="auto"/>
              <w:bottom w:val="single" w:sz="4" w:space="0" w:color="auto"/>
            </w:tcBorders>
            <w:shd w:val="clear" w:color="auto" w:fill="FFFFFF"/>
            <w:vAlign w:val="bottom"/>
          </w:tcPr>
          <w:p w14:paraId="2E9DC209"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ASP</w:t>
            </w:r>
          </w:p>
        </w:tc>
        <w:tc>
          <w:tcPr>
            <w:tcW w:w="837" w:type="pct"/>
            <w:tcBorders>
              <w:top w:val="single" w:sz="4" w:space="0" w:color="auto"/>
              <w:bottom w:val="single" w:sz="4" w:space="0" w:color="auto"/>
            </w:tcBorders>
            <w:shd w:val="clear" w:color="auto" w:fill="FFFFFF"/>
            <w:vAlign w:val="bottom"/>
          </w:tcPr>
          <w:p w14:paraId="75299774" w14:textId="77777777" w:rsidR="00A95558" w:rsidRPr="00450FB4" w:rsidRDefault="00D67080" w:rsidP="00240B9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CR</w:t>
            </w:r>
          </w:p>
        </w:tc>
        <w:tc>
          <w:tcPr>
            <w:tcW w:w="757" w:type="pct"/>
            <w:tcBorders>
              <w:top w:val="single" w:sz="4" w:space="0" w:color="auto"/>
              <w:bottom w:val="single" w:sz="4" w:space="0" w:color="auto"/>
            </w:tcBorders>
            <w:shd w:val="clear" w:color="auto" w:fill="FFFFFF"/>
            <w:vAlign w:val="bottom"/>
          </w:tcPr>
          <w:p w14:paraId="57A4223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b/>
                <w:bCs/>
                <w:color w:val="000000"/>
                <w:kern w:val="1"/>
                <w:sz w:val="20"/>
                <w:szCs w:val="20"/>
                <w:lang w:eastAsia="ar-SA"/>
              </w:rPr>
              <w:t>FL</w:t>
            </w:r>
          </w:p>
        </w:tc>
      </w:tr>
      <w:tr w:rsidR="00161788" w:rsidRPr="00450FB4" w14:paraId="568FFE07" w14:textId="77777777" w:rsidTr="00240B98">
        <w:trPr>
          <w:trHeight w:val="206"/>
        </w:trPr>
        <w:tc>
          <w:tcPr>
            <w:tcW w:w="897" w:type="pct"/>
            <w:vMerge w:val="restart"/>
            <w:tcBorders>
              <w:top w:val="single" w:sz="4" w:space="0" w:color="auto"/>
            </w:tcBorders>
            <w:shd w:val="clear" w:color="auto" w:fill="FFFFFF"/>
          </w:tcPr>
          <w:p w14:paraId="742BD26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Constant</w:t>
            </w:r>
          </w:p>
        </w:tc>
        <w:tc>
          <w:tcPr>
            <w:tcW w:w="835" w:type="pct"/>
            <w:tcBorders>
              <w:top w:val="single" w:sz="4" w:space="0" w:color="auto"/>
            </w:tcBorders>
            <w:shd w:val="clear" w:color="auto" w:fill="FFFFFF"/>
            <w:vAlign w:val="center"/>
          </w:tcPr>
          <w:p w14:paraId="50342EC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-8.5852</w:t>
            </w:r>
          </w:p>
        </w:tc>
        <w:tc>
          <w:tcPr>
            <w:tcW w:w="836" w:type="pct"/>
            <w:tcBorders>
              <w:top w:val="single" w:sz="4" w:space="0" w:color="auto"/>
            </w:tcBorders>
            <w:shd w:val="clear" w:color="auto" w:fill="FFFFFF"/>
            <w:vAlign w:val="bottom"/>
          </w:tcPr>
          <w:p w14:paraId="7CF4903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-1.0577</w:t>
            </w:r>
          </w:p>
        </w:tc>
        <w:tc>
          <w:tcPr>
            <w:tcW w:w="837" w:type="pct"/>
            <w:tcBorders>
              <w:top w:val="single" w:sz="4" w:space="0" w:color="auto"/>
            </w:tcBorders>
            <w:shd w:val="clear" w:color="auto" w:fill="FFFFFF"/>
            <w:vAlign w:val="bottom"/>
          </w:tcPr>
          <w:p w14:paraId="4D4E7A9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108.9430</w:t>
            </w:r>
          </w:p>
        </w:tc>
        <w:tc>
          <w:tcPr>
            <w:tcW w:w="837" w:type="pct"/>
            <w:tcBorders>
              <w:top w:val="single" w:sz="4" w:space="0" w:color="auto"/>
            </w:tcBorders>
            <w:shd w:val="clear" w:color="auto" w:fill="FFFFFF"/>
            <w:vAlign w:val="bottom"/>
          </w:tcPr>
          <w:p w14:paraId="56C17AD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4.7299***</w:t>
            </w:r>
          </w:p>
        </w:tc>
        <w:tc>
          <w:tcPr>
            <w:tcW w:w="757" w:type="pct"/>
            <w:tcBorders>
              <w:top w:val="single" w:sz="4" w:space="0" w:color="auto"/>
            </w:tcBorders>
            <w:shd w:val="clear" w:color="auto" w:fill="FFFFFF"/>
            <w:vAlign w:val="bottom"/>
          </w:tcPr>
          <w:p w14:paraId="5793A78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25.0735</w:t>
            </w:r>
          </w:p>
        </w:tc>
      </w:tr>
      <w:tr w:rsidR="00161788" w:rsidRPr="00450FB4" w14:paraId="7D086B97" w14:textId="77777777" w:rsidTr="00240B98">
        <w:trPr>
          <w:trHeight w:val="206"/>
        </w:trPr>
        <w:tc>
          <w:tcPr>
            <w:tcW w:w="897" w:type="pct"/>
            <w:vMerge/>
            <w:shd w:val="clear" w:color="auto" w:fill="auto"/>
            <w:vAlign w:val="center"/>
          </w:tcPr>
          <w:p w14:paraId="6D112DA7"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47115B1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(4.0994)</w:t>
            </w:r>
          </w:p>
        </w:tc>
        <w:tc>
          <w:tcPr>
            <w:tcW w:w="836" w:type="pct"/>
            <w:shd w:val="clear" w:color="auto" w:fill="FFFFFF"/>
            <w:vAlign w:val="center"/>
          </w:tcPr>
          <w:p w14:paraId="7FDFC80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(4.3081)</w:t>
            </w:r>
          </w:p>
        </w:tc>
        <w:tc>
          <w:tcPr>
            <w:tcW w:w="837" w:type="pct"/>
            <w:shd w:val="clear" w:color="auto" w:fill="FFFFFF"/>
            <w:vAlign w:val="bottom"/>
          </w:tcPr>
          <w:p w14:paraId="4709DCD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(164.7285)</w:t>
            </w:r>
          </w:p>
        </w:tc>
        <w:tc>
          <w:tcPr>
            <w:tcW w:w="837" w:type="pct"/>
            <w:shd w:val="clear" w:color="auto" w:fill="FFFFFF"/>
            <w:vAlign w:val="center"/>
          </w:tcPr>
          <w:p w14:paraId="6069B00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(0.2917)</w:t>
            </w:r>
          </w:p>
        </w:tc>
        <w:tc>
          <w:tcPr>
            <w:tcW w:w="757" w:type="pct"/>
            <w:shd w:val="clear" w:color="auto" w:fill="FFFFFF"/>
            <w:vAlign w:val="bottom"/>
          </w:tcPr>
          <w:p w14:paraId="5192851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(34.9930)</w:t>
            </w:r>
          </w:p>
        </w:tc>
      </w:tr>
      <w:tr w:rsidR="00161788" w:rsidRPr="00450FB4" w14:paraId="4B3CB58F" w14:textId="77777777" w:rsidTr="00240B98">
        <w:trPr>
          <w:trHeight w:val="206"/>
        </w:trPr>
        <w:tc>
          <w:tcPr>
            <w:tcW w:w="897" w:type="pct"/>
            <w:vMerge/>
            <w:shd w:val="clear" w:color="auto" w:fill="auto"/>
            <w:vAlign w:val="center"/>
          </w:tcPr>
          <w:p w14:paraId="47146E73"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75DE0F8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[0.0362]</w:t>
            </w:r>
          </w:p>
        </w:tc>
        <w:tc>
          <w:tcPr>
            <w:tcW w:w="836" w:type="pct"/>
            <w:shd w:val="clear" w:color="auto" w:fill="FFFFFF"/>
            <w:vAlign w:val="bottom"/>
          </w:tcPr>
          <w:p w14:paraId="6305F75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[0.8061]</w:t>
            </w:r>
          </w:p>
        </w:tc>
        <w:tc>
          <w:tcPr>
            <w:tcW w:w="837" w:type="pct"/>
            <w:shd w:val="clear" w:color="auto" w:fill="FFFFFF"/>
            <w:vAlign w:val="bottom"/>
          </w:tcPr>
          <w:p w14:paraId="76EED46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[0.5084]</w:t>
            </w:r>
          </w:p>
        </w:tc>
        <w:tc>
          <w:tcPr>
            <w:tcW w:w="837" w:type="pct"/>
            <w:shd w:val="clear" w:color="auto" w:fill="FFFFFF"/>
            <w:vAlign w:val="bottom"/>
          </w:tcPr>
          <w:p w14:paraId="4356EFF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757" w:type="pct"/>
            <w:shd w:val="clear" w:color="auto" w:fill="FFFFFF"/>
            <w:vAlign w:val="bottom"/>
          </w:tcPr>
          <w:p w14:paraId="7940EFC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[0.4737]</w:t>
            </w:r>
          </w:p>
        </w:tc>
      </w:tr>
      <w:tr w:rsidR="00161788" w:rsidRPr="00450FB4" w14:paraId="2E79DC9B" w14:textId="77777777" w:rsidTr="00240B98">
        <w:trPr>
          <w:trHeight w:val="206"/>
        </w:trPr>
        <w:tc>
          <w:tcPr>
            <w:tcW w:w="897" w:type="pct"/>
            <w:vMerge w:val="restart"/>
            <w:shd w:val="clear" w:color="auto" w:fill="FFFFFF"/>
          </w:tcPr>
          <w:p w14:paraId="730E156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Merger</w:t>
            </w:r>
          </w:p>
        </w:tc>
        <w:tc>
          <w:tcPr>
            <w:tcW w:w="835" w:type="pct"/>
            <w:shd w:val="clear" w:color="auto" w:fill="FFFFFF"/>
            <w:vAlign w:val="center"/>
          </w:tcPr>
          <w:p w14:paraId="7E56E95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2.9517*</w:t>
            </w:r>
          </w:p>
        </w:tc>
        <w:tc>
          <w:tcPr>
            <w:tcW w:w="836" w:type="pct"/>
            <w:shd w:val="clear" w:color="auto" w:fill="FFFFFF"/>
            <w:vAlign w:val="center"/>
          </w:tcPr>
          <w:p w14:paraId="6742134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-1.8824</w:t>
            </w:r>
          </w:p>
        </w:tc>
        <w:tc>
          <w:tcPr>
            <w:tcW w:w="837" w:type="pct"/>
            <w:shd w:val="clear" w:color="auto" w:fill="FFFFFF"/>
            <w:vAlign w:val="bottom"/>
          </w:tcPr>
          <w:p w14:paraId="6CE9996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-41.7626</w:t>
            </w:r>
          </w:p>
        </w:tc>
        <w:tc>
          <w:tcPr>
            <w:tcW w:w="837" w:type="pct"/>
            <w:shd w:val="clear" w:color="auto" w:fill="FFFFFF"/>
            <w:vAlign w:val="bottom"/>
          </w:tcPr>
          <w:p w14:paraId="58AFCB4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0.3447</w:t>
            </w:r>
          </w:p>
        </w:tc>
        <w:tc>
          <w:tcPr>
            <w:tcW w:w="757" w:type="pct"/>
            <w:shd w:val="clear" w:color="auto" w:fill="FFFFFF"/>
            <w:vAlign w:val="bottom"/>
          </w:tcPr>
          <w:p w14:paraId="6B1562B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-21.0758*</w:t>
            </w:r>
          </w:p>
        </w:tc>
      </w:tr>
      <w:tr w:rsidR="00161788" w:rsidRPr="00450FB4" w14:paraId="7368BA87" w14:textId="77777777" w:rsidTr="00240B98">
        <w:trPr>
          <w:trHeight w:val="206"/>
        </w:trPr>
        <w:tc>
          <w:tcPr>
            <w:tcW w:w="897" w:type="pct"/>
            <w:vMerge/>
            <w:shd w:val="clear" w:color="auto" w:fill="auto"/>
            <w:vAlign w:val="center"/>
          </w:tcPr>
          <w:p w14:paraId="1410E82C"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67A7ACD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(1.1962)</w:t>
            </w:r>
          </w:p>
        </w:tc>
        <w:tc>
          <w:tcPr>
            <w:tcW w:w="836" w:type="pct"/>
            <w:shd w:val="clear" w:color="auto" w:fill="FFFFFF"/>
            <w:vAlign w:val="bottom"/>
          </w:tcPr>
          <w:p w14:paraId="269F5BB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(2.1928)</w:t>
            </w:r>
          </w:p>
        </w:tc>
        <w:tc>
          <w:tcPr>
            <w:tcW w:w="837" w:type="pct"/>
            <w:shd w:val="clear" w:color="auto" w:fill="FFFFFF"/>
            <w:vAlign w:val="bottom"/>
          </w:tcPr>
          <w:p w14:paraId="4A8DAB7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(65.4716)</w:t>
            </w:r>
          </w:p>
        </w:tc>
        <w:tc>
          <w:tcPr>
            <w:tcW w:w="837" w:type="pct"/>
            <w:shd w:val="clear" w:color="auto" w:fill="FFFFFF"/>
            <w:vAlign w:val="center"/>
          </w:tcPr>
          <w:p w14:paraId="37F781A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(0.1943)</w:t>
            </w:r>
          </w:p>
        </w:tc>
        <w:tc>
          <w:tcPr>
            <w:tcW w:w="757" w:type="pct"/>
            <w:shd w:val="clear" w:color="auto" w:fill="FFFFFF"/>
            <w:vAlign w:val="bottom"/>
          </w:tcPr>
          <w:p w14:paraId="2D355E2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(9.3893)</w:t>
            </w:r>
          </w:p>
        </w:tc>
      </w:tr>
      <w:tr w:rsidR="00161788" w:rsidRPr="00450FB4" w14:paraId="2EFBEE8C" w14:textId="77777777" w:rsidTr="00240B98">
        <w:trPr>
          <w:trHeight w:val="206"/>
        </w:trPr>
        <w:tc>
          <w:tcPr>
            <w:tcW w:w="897" w:type="pct"/>
            <w:vMerge/>
            <w:shd w:val="clear" w:color="auto" w:fill="auto"/>
            <w:vAlign w:val="center"/>
          </w:tcPr>
          <w:p w14:paraId="13C8C322"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17F2AD0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[0.0136]</w:t>
            </w:r>
          </w:p>
        </w:tc>
        <w:tc>
          <w:tcPr>
            <w:tcW w:w="836" w:type="pct"/>
            <w:shd w:val="clear" w:color="auto" w:fill="FFFFFF"/>
            <w:vAlign w:val="bottom"/>
          </w:tcPr>
          <w:p w14:paraId="53E45F1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[0.3907]</w:t>
            </w:r>
          </w:p>
        </w:tc>
        <w:tc>
          <w:tcPr>
            <w:tcW w:w="837" w:type="pct"/>
            <w:shd w:val="clear" w:color="auto" w:fill="FFFFFF"/>
            <w:vAlign w:val="bottom"/>
          </w:tcPr>
          <w:p w14:paraId="7B212A7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[0.5236]</w:t>
            </w:r>
          </w:p>
        </w:tc>
        <w:tc>
          <w:tcPr>
            <w:tcW w:w="837" w:type="pct"/>
            <w:shd w:val="clear" w:color="auto" w:fill="FFFFFF"/>
            <w:vAlign w:val="bottom"/>
          </w:tcPr>
          <w:p w14:paraId="4266A55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[0.0760]</w:t>
            </w:r>
          </w:p>
        </w:tc>
        <w:tc>
          <w:tcPr>
            <w:tcW w:w="757" w:type="pct"/>
            <w:shd w:val="clear" w:color="auto" w:fill="FFFFFF"/>
            <w:vAlign w:val="bottom"/>
          </w:tcPr>
          <w:p w14:paraId="76E0F3F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[0.0248]</w:t>
            </w:r>
          </w:p>
        </w:tc>
      </w:tr>
      <w:tr w:rsidR="00161788" w:rsidRPr="00450FB4" w14:paraId="41380656" w14:textId="77777777" w:rsidTr="00240B98">
        <w:trPr>
          <w:trHeight w:val="206"/>
        </w:trPr>
        <w:tc>
          <w:tcPr>
            <w:tcW w:w="897" w:type="pct"/>
            <w:vMerge w:val="restart"/>
            <w:shd w:val="clear" w:color="auto" w:fill="FFFFFF"/>
          </w:tcPr>
          <w:p w14:paraId="11FB441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NPM</w:t>
            </w:r>
          </w:p>
        </w:tc>
        <w:tc>
          <w:tcPr>
            <w:tcW w:w="835" w:type="pct"/>
            <w:shd w:val="clear" w:color="auto" w:fill="FFFFFF"/>
            <w:vAlign w:val="center"/>
          </w:tcPr>
          <w:p w14:paraId="6F70921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0.4635***</w:t>
            </w:r>
          </w:p>
        </w:tc>
        <w:tc>
          <w:tcPr>
            <w:tcW w:w="836" w:type="pct"/>
            <w:shd w:val="clear" w:color="auto" w:fill="FFFFFF"/>
            <w:vAlign w:val="bottom"/>
          </w:tcPr>
          <w:p w14:paraId="4CA0F40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bottom"/>
          </w:tcPr>
          <w:p w14:paraId="55BEF75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2.2231</w:t>
            </w:r>
          </w:p>
        </w:tc>
        <w:tc>
          <w:tcPr>
            <w:tcW w:w="837" w:type="pct"/>
            <w:shd w:val="clear" w:color="auto" w:fill="FFFFFF"/>
            <w:vAlign w:val="bottom"/>
          </w:tcPr>
          <w:p w14:paraId="1A23273C"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51A4FAD8"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42F899F6" w14:textId="77777777" w:rsidTr="00240B98">
        <w:trPr>
          <w:trHeight w:val="206"/>
        </w:trPr>
        <w:tc>
          <w:tcPr>
            <w:tcW w:w="897" w:type="pct"/>
            <w:vMerge/>
            <w:shd w:val="clear" w:color="auto" w:fill="auto"/>
            <w:vAlign w:val="center"/>
          </w:tcPr>
          <w:p w14:paraId="1D57F13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51CE0BB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(0.0689)</w:t>
            </w:r>
          </w:p>
        </w:tc>
        <w:tc>
          <w:tcPr>
            <w:tcW w:w="836" w:type="pct"/>
            <w:shd w:val="clear" w:color="auto" w:fill="FFFFFF"/>
            <w:vAlign w:val="bottom"/>
          </w:tcPr>
          <w:p w14:paraId="68A38C65"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bottom"/>
          </w:tcPr>
          <w:p w14:paraId="654DEBA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(3.4143)</w:t>
            </w:r>
          </w:p>
        </w:tc>
        <w:tc>
          <w:tcPr>
            <w:tcW w:w="837" w:type="pct"/>
            <w:shd w:val="clear" w:color="auto" w:fill="FFFFFF"/>
            <w:vAlign w:val="bottom"/>
          </w:tcPr>
          <w:p w14:paraId="7955AA19"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666B71C6"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23059AED" w14:textId="77777777" w:rsidTr="00240B98">
        <w:trPr>
          <w:trHeight w:val="206"/>
        </w:trPr>
        <w:tc>
          <w:tcPr>
            <w:tcW w:w="897" w:type="pct"/>
            <w:vMerge/>
            <w:shd w:val="clear" w:color="auto" w:fill="auto"/>
            <w:vAlign w:val="center"/>
          </w:tcPr>
          <w:p w14:paraId="563754D2"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23BDF00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836" w:type="pct"/>
            <w:shd w:val="clear" w:color="auto" w:fill="FFFFFF"/>
            <w:vAlign w:val="bottom"/>
          </w:tcPr>
          <w:p w14:paraId="48AF14E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bottom"/>
          </w:tcPr>
          <w:p w14:paraId="7FC227F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[0.5150]</w:t>
            </w:r>
          </w:p>
        </w:tc>
        <w:tc>
          <w:tcPr>
            <w:tcW w:w="837" w:type="pct"/>
            <w:shd w:val="clear" w:color="auto" w:fill="FFFFFF"/>
            <w:vAlign w:val="bottom"/>
          </w:tcPr>
          <w:p w14:paraId="56839867"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117A7C77"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2205A91A" w14:textId="77777777" w:rsidTr="00240B98">
        <w:trPr>
          <w:trHeight w:val="206"/>
        </w:trPr>
        <w:tc>
          <w:tcPr>
            <w:tcW w:w="897" w:type="pct"/>
            <w:vMerge w:val="restart"/>
            <w:shd w:val="clear" w:color="auto" w:fill="FFFFFF"/>
          </w:tcPr>
          <w:p w14:paraId="29154AB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FL</w:t>
            </w:r>
          </w:p>
        </w:tc>
        <w:tc>
          <w:tcPr>
            <w:tcW w:w="835" w:type="pct"/>
            <w:shd w:val="clear" w:color="auto" w:fill="FFFFFF"/>
            <w:vAlign w:val="center"/>
          </w:tcPr>
          <w:p w14:paraId="30DF44E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-0.1253***</w:t>
            </w:r>
          </w:p>
        </w:tc>
        <w:tc>
          <w:tcPr>
            <w:tcW w:w="836" w:type="pct"/>
            <w:shd w:val="clear" w:color="auto" w:fill="FFFFFF"/>
            <w:vAlign w:val="center"/>
          </w:tcPr>
          <w:p w14:paraId="00638BF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-0.0037**</w:t>
            </w:r>
          </w:p>
        </w:tc>
        <w:tc>
          <w:tcPr>
            <w:tcW w:w="837" w:type="pct"/>
            <w:shd w:val="clear" w:color="auto" w:fill="FFFFFF"/>
            <w:vAlign w:val="bottom"/>
          </w:tcPr>
          <w:p w14:paraId="05FD5D1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-0.1764</w:t>
            </w:r>
          </w:p>
        </w:tc>
        <w:tc>
          <w:tcPr>
            <w:tcW w:w="837" w:type="pct"/>
            <w:shd w:val="clear" w:color="auto" w:fill="FFFFFF"/>
            <w:vAlign w:val="bottom"/>
          </w:tcPr>
          <w:p w14:paraId="63E93DC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-0.0004</w:t>
            </w:r>
          </w:p>
        </w:tc>
        <w:tc>
          <w:tcPr>
            <w:tcW w:w="757" w:type="pct"/>
            <w:shd w:val="clear" w:color="auto" w:fill="FFFFFF"/>
            <w:vAlign w:val="bottom"/>
          </w:tcPr>
          <w:p w14:paraId="05F4F91E"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31761183" w14:textId="77777777" w:rsidTr="00240B98">
        <w:trPr>
          <w:trHeight w:val="206"/>
        </w:trPr>
        <w:tc>
          <w:tcPr>
            <w:tcW w:w="897" w:type="pct"/>
            <w:vMerge/>
            <w:shd w:val="clear" w:color="auto" w:fill="auto"/>
            <w:vAlign w:val="center"/>
          </w:tcPr>
          <w:p w14:paraId="4E34FC92"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61CA5AB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(0.0220)</w:t>
            </w:r>
          </w:p>
        </w:tc>
        <w:tc>
          <w:tcPr>
            <w:tcW w:w="836" w:type="pct"/>
            <w:shd w:val="clear" w:color="auto" w:fill="FFFFFF"/>
            <w:vAlign w:val="bottom"/>
          </w:tcPr>
          <w:p w14:paraId="2B07B52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(0.0012)</w:t>
            </w:r>
          </w:p>
        </w:tc>
        <w:tc>
          <w:tcPr>
            <w:tcW w:w="837" w:type="pct"/>
            <w:shd w:val="clear" w:color="auto" w:fill="FFFFFF"/>
            <w:vAlign w:val="bottom"/>
          </w:tcPr>
          <w:p w14:paraId="61BCED8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(0.0969)</w:t>
            </w:r>
          </w:p>
        </w:tc>
        <w:tc>
          <w:tcPr>
            <w:tcW w:w="837" w:type="pct"/>
            <w:shd w:val="clear" w:color="auto" w:fill="FFFFFF"/>
            <w:vAlign w:val="center"/>
          </w:tcPr>
          <w:p w14:paraId="27F26BB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(0.0002)</w:t>
            </w:r>
          </w:p>
        </w:tc>
        <w:tc>
          <w:tcPr>
            <w:tcW w:w="757" w:type="pct"/>
            <w:shd w:val="clear" w:color="auto" w:fill="FFFFFF"/>
            <w:vAlign w:val="bottom"/>
          </w:tcPr>
          <w:p w14:paraId="1A1BA42D"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467DE489" w14:textId="77777777" w:rsidTr="00240B98">
        <w:trPr>
          <w:trHeight w:val="206"/>
        </w:trPr>
        <w:tc>
          <w:tcPr>
            <w:tcW w:w="897" w:type="pct"/>
            <w:vMerge/>
            <w:shd w:val="clear" w:color="auto" w:fill="auto"/>
            <w:vAlign w:val="center"/>
          </w:tcPr>
          <w:p w14:paraId="198AAD27"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78216D7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836" w:type="pct"/>
            <w:shd w:val="clear" w:color="auto" w:fill="FFFFFF"/>
            <w:vAlign w:val="bottom"/>
          </w:tcPr>
          <w:p w14:paraId="3572105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[0.0016]</w:t>
            </w:r>
          </w:p>
        </w:tc>
        <w:tc>
          <w:tcPr>
            <w:tcW w:w="837" w:type="pct"/>
            <w:shd w:val="clear" w:color="auto" w:fill="FFFFFF"/>
            <w:vAlign w:val="bottom"/>
          </w:tcPr>
          <w:p w14:paraId="73EA328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[0.0687]</w:t>
            </w:r>
          </w:p>
        </w:tc>
        <w:tc>
          <w:tcPr>
            <w:tcW w:w="837" w:type="pct"/>
            <w:shd w:val="clear" w:color="auto" w:fill="FFFFFF"/>
            <w:vAlign w:val="bottom"/>
          </w:tcPr>
          <w:p w14:paraId="7AA112B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[0.1390]</w:t>
            </w:r>
          </w:p>
        </w:tc>
        <w:tc>
          <w:tcPr>
            <w:tcW w:w="757" w:type="pct"/>
            <w:shd w:val="clear" w:color="auto" w:fill="FFFFFF"/>
            <w:vAlign w:val="bottom"/>
          </w:tcPr>
          <w:p w14:paraId="10592219" w14:textId="77777777" w:rsidR="00A95558" w:rsidRPr="00450FB4" w:rsidRDefault="00A95558" w:rsidP="00240B98">
            <w:pPr>
              <w:widowControl/>
              <w:suppressAutoHyphens/>
              <w:autoSpaceDE/>
              <w:autoSpaceDN/>
              <w:jc w:val="both"/>
              <w:rPr>
                <w:color w:val="000000"/>
                <w:kern w:val="1"/>
                <w:sz w:val="20"/>
                <w:szCs w:val="20"/>
                <w:lang w:eastAsia="ar-SA"/>
              </w:rPr>
            </w:pPr>
          </w:p>
        </w:tc>
      </w:tr>
      <w:tr w:rsidR="00161788" w:rsidRPr="00450FB4" w14:paraId="64C0A76B" w14:textId="77777777" w:rsidTr="00240B98">
        <w:trPr>
          <w:trHeight w:val="206"/>
        </w:trPr>
        <w:tc>
          <w:tcPr>
            <w:tcW w:w="897" w:type="pct"/>
            <w:vMerge w:val="restart"/>
            <w:shd w:val="clear" w:color="auto" w:fill="FFFFFF"/>
          </w:tcPr>
          <w:p w14:paraId="66B5323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Log_AS</w:t>
            </w:r>
          </w:p>
        </w:tc>
        <w:tc>
          <w:tcPr>
            <w:tcW w:w="835" w:type="pct"/>
            <w:shd w:val="clear" w:color="auto" w:fill="FFFFFF"/>
            <w:vAlign w:val="center"/>
          </w:tcPr>
          <w:p w14:paraId="5055192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1.8117***</w:t>
            </w:r>
          </w:p>
        </w:tc>
        <w:tc>
          <w:tcPr>
            <w:tcW w:w="836" w:type="pct"/>
            <w:shd w:val="clear" w:color="auto" w:fill="FFFFFF"/>
            <w:vAlign w:val="center"/>
          </w:tcPr>
          <w:p w14:paraId="6BB3334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1.1590**</w:t>
            </w:r>
          </w:p>
        </w:tc>
        <w:tc>
          <w:tcPr>
            <w:tcW w:w="837" w:type="pct"/>
            <w:shd w:val="clear" w:color="auto" w:fill="FFFFFF"/>
            <w:vAlign w:val="center"/>
          </w:tcPr>
          <w:p w14:paraId="54C30E8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30.3541**</w:t>
            </w:r>
          </w:p>
        </w:tc>
        <w:tc>
          <w:tcPr>
            <w:tcW w:w="837" w:type="pct"/>
            <w:shd w:val="clear" w:color="auto" w:fill="FFFFFF"/>
            <w:vAlign w:val="bottom"/>
          </w:tcPr>
          <w:p w14:paraId="5A10FB87"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-0.2789***</w:t>
            </w:r>
          </w:p>
        </w:tc>
        <w:tc>
          <w:tcPr>
            <w:tcW w:w="757" w:type="pct"/>
            <w:shd w:val="clear" w:color="auto" w:fill="FFFFFF"/>
            <w:vAlign w:val="bottom"/>
          </w:tcPr>
          <w:p w14:paraId="588E438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8.9166***</w:t>
            </w:r>
          </w:p>
        </w:tc>
      </w:tr>
      <w:tr w:rsidR="00161788" w:rsidRPr="00450FB4" w14:paraId="268BA892" w14:textId="77777777" w:rsidTr="00240B98">
        <w:trPr>
          <w:trHeight w:val="206"/>
        </w:trPr>
        <w:tc>
          <w:tcPr>
            <w:tcW w:w="897" w:type="pct"/>
            <w:vMerge/>
            <w:shd w:val="clear" w:color="auto" w:fill="auto"/>
            <w:vAlign w:val="center"/>
          </w:tcPr>
          <w:p w14:paraId="4DE3A1DE"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30C58E0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(0.4481)</w:t>
            </w:r>
          </w:p>
        </w:tc>
        <w:tc>
          <w:tcPr>
            <w:tcW w:w="836" w:type="pct"/>
            <w:shd w:val="clear" w:color="auto" w:fill="FFFFFF"/>
            <w:vAlign w:val="bottom"/>
          </w:tcPr>
          <w:p w14:paraId="25E5735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(0.3922)</w:t>
            </w:r>
          </w:p>
        </w:tc>
        <w:tc>
          <w:tcPr>
            <w:tcW w:w="837" w:type="pct"/>
            <w:shd w:val="clear" w:color="auto" w:fill="FFFFFF"/>
            <w:vAlign w:val="bottom"/>
          </w:tcPr>
          <w:p w14:paraId="6E8776B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(10.4338)</w:t>
            </w:r>
          </w:p>
        </w:tc>
        <w:tc>
          <w:tcPr>
            <w:tcW w:w="837" w:type="pct"/>
            <w:shd w:val="clear" w:color="auto" w:fill="FFFFFF"/>
            <w:vAlign w:val="center"/>
          </w:tcPr>
          <w:p w14:paraId="5DE1888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(0.0248)</w:t>
            </w:r>
          </w:p>
        </w:tc>
        <w:tc>
          <w:tcPr>
            <w:tcW w:w="757" w:type="pct"/>
            <w:shd w:val="clear" w:color="auto" w:fill="FFFFFF"/>
            <w:vAlign w:val="bottom"/>
          </w:tcPr>
          <w:p w14:paraId="30401C5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(2.2757)</w:t>
            </w:r>
          </w:p>
        </w:tc>
      </w:tr>
      <w:tr w:rsidR="00161788" w:rsidRPr="00450FB4" w14:paraId="241F3057" w14:textId="77777777" w:rsidTr="00240B98">
        <w:trPr>
          <w:trHeight w:val="206"/>
        </w:trPr>
        <w:tc>
          <w:tcPr>
            <w:tcW w:w="897" w:type="pct"/>
            <w:vMerge/>
            <w:shd w:val="clear" w:color="auto" w:fill="auto"/>
            <w:vAlign w:val="center"/>
          </w:tcPr>
          <w:p w14:paraId="56CEABA6"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519BEB8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[0.0001]</w:t>
            </w:r>
          </w:p>
        </w:tc>
        <w:tc>
          <w:tcPr>
            <w:tcW w:w="836" w:type="pct"/>
            <w:shd w:val="clear" w:color="auto" w:fill="FFFFFF"/>
            <w:vAlign w:val="bottom"/>
          </w:tcPr>
          <w:p w14:paraId="65A6726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[0.0031]</w:t>
            </w:r>
          </w:p>
        </w:tc>
        <w:tc>
          <w:tcPr>
            <w:tcW w:w="837" w:type="pct"/>
            <w:shd w:val="clear" w:color="auto" w:fill="FFFFFF"/>
            <w:vAlign w:val="bottom"/>
          </w:tcPr>
          <w:p w14:paraId="3D80B32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[0.0036]</w:t>
            </w:r>
          </w:p>
        </w:tc>
        <w:tc>
          <w:tcPr>
            <w:tcW w:w="837" w:type="pct"/>
            <w:shd w:val="clear" w:color="auto" w:fill="FFFFFF"/>
            <w:vAlign w:val="bottom"/>
          </w:tcPr>
          <w:p w14:paraId="0D65230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757" w:type="pct"/>
            <w:shd w:val="clear" w:color="auto" w:fill="FFFFFF"/>
            <w:vAlign w:val="bottom"/>
          </w:tcPr>
          <w:p w14:paraId="7BFC964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[0.0001]</w:t>
            </w:r>
          </w:p>
        </w:tc>
      </w:tr>
      <w:tr w:rsidR="00161788" w:rsidRPr="00450FB4" w14:paraId="44FB4521" w14:textId="77777777" w:rsidTr="00240B98">
        <w:trPr>
          <w:trHeight w:val="206"/>
        </w:trPr>
        <w:tc>
          <w:tcPr>
            <w:tcW w:w="897" w:type="pct"/>
            <w:vMerge w:val="restart"/>
            <w:shd w:val="clear" w:color="auto" w:fill="FFFFFF"/>
          </w:tcPr>
          <w:p w14:paraId="5B8E32C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CR</w:t>
            </w:r>
          </w:p>
        </w:tc>
        <w:tc>
          <w:tcPr>
            <w:tcW w:w="835" w:type="pct"/>
            <w:shd w:val="clear" w:color="auto" w:fill="FFFFFF"/>
            <w:vAlign w:val="bottom"/>
          </w:tcPr>
          <w:p w14:paraId="793EC678"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6" w:type="pct"/>
            <w:shd w:val="clear" w:color="auto" w:fill="FFFFFF"/>
            <w:vAlign w:val="bottom"/>
          </w:tcPr>
          <w:p w14:paraId="7850E30D"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center"/>
          </w:tcPr>
          <w:p w14:paraId="5223547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-63.5468</w:t>
            </w:r>
          </w:p>
        </w:tc>
        <w:tc>
          <w:tcPr>
            <w:tcW w:w="837" w:type="pct"/>
            <w:shd w:val="clear" w:color="auto" w:fill="FFFFFF"/>
            <w:vAlign w:val="bottom"/>
          </w:tcPr>
          <w:p w14:paraId="306D5FD5"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6F02441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-34.6166***</w:t>
            </w:r>
          </w:p>
        </w:tc>
      </w:tr>
      <w:tr w:rsidR="00161788" w:rsidRPr="00450FB4" w14:paraId="5B427FA7" w14:textId="77777777" w:rsidTr="00240B98">
        <w:trPr>
          <w:trHeight w:val="206"/>
        </w:trPr>
        <w:tc>
          <w:tcPr>
            <w:tcW w:w="897" w:type="pct"/>
            <w:vMerge/>
            <w:shd w:val="clear" w:color="auto" w:fill="auto"/>
            <w:vAlign w:val="center"/>
          </w:tcPr>
          <w:p w14:paraId="7697D8EE"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3A6A096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6" w:type="pct"/>
            <w:shd w:val="clear" w:color="auto" w:fill="FFFFFF"/>
            <w:vAlign w:val="bottom"/>
          </w:tcPr>
          <w:p w14:paraId="10F7F12A"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bottom"/>
          </w:tcPr>
          <w:p w14:paraId="12EBA0F1"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(40.1678)</w:t>
            </w:r>
          </w:p>
        </w:tc>
        <w:tc>
          <w:tcPr>
            <w:tcW w:w="837" w:type="pct"/>
            <w:shd w:val="clear" w:color="auto" w:fill="FFFFFF"/>
            <w:vAlign w:val="bottom"/>
          </w:tcPr>
          <w:p w14:paraId="7489F85E"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6C0A1E8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(6.1842)</w:t>
            </w:r>
          </w:p>
        </w:tc>
      </w:tr>
      <w:tr w:rsidR="00161788" w:rsidRPr="00450FB4" w14:paraId="615B33D6" w14:textId="77777777" w:rsidTr="00240B98">
        <w:trPr>
          <w:trHeight w:val="206"/>
        </w:trPr>
        <w:tc>
          <w:tcPr>
            <w:tcW w:w="897" w:type="pct"/>
            <w:vMerge/>
            <w:shd w:val="clear" w:color="auto" w:fill="auto"/>
            <w:vAlign w:val="center"/>
          </w:tcPr>
          <w:p w14:paraId="21281CAF"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5" w:type="pct"/>
            <w:shd w:val="clear" w:color="auto" w:fill="FFFFFF"/>
            <w:vAlign w:val="bottom"/>
          </w:tcPr>
          <w:p w14:paraId="1AE13873"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6" w:type="pct"/>
            <w:shd w:val="clear" w:color="auto" w:fill="FFFFFF"/>
            <w:vAlign w:val="bottom"/>
          </w:tcPr>
          <w:p w14:paraId="4D3F4335"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837" w:type="pct"/>
            <w:shd w:val="clear" w:color="auto" w:fill="FFFFFF"/>
            <w:vAlign w:val="bottom"/>
          </w:tcPr>
          <w:p w14:paraId="0F022146"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[0.1136]</w:t>
            </w:r>
          </w:p>
        </w:tc>
        <w:tc>
          <w:tcPr>
            <w:tcW w:w="837" w:type="pct"/>
            <w:shd w:val="clear" w:color="auto" w:fill="FFFFFF"/>
            <w:vAlign w:val="bottom"/>
          </w:tcPr>
          <w:p w14:paraId="5FC325D0" w14:textId="77777777" w:rsidR="00A95558" w:rsidRPr="00450FB4" w:rsidRDefault="00A95558" w:rsidP="00240B98">
            <w:pPr>
              <w:widowControl/>
              <w:suppressAutoHyphens/>
              <w:autoSpaceDE/>
              <w:autoSpaceDN/>
              <w:jc w:val="both"/>
              <w:rPr>
                <w:color w:val="000000"/>
                <w:kern w:val="1"/>
                <w:sz w:val="20"/>
                <w:szCs w:val="20"/>
                <w:lang w:eastAsia="ar-SA"/>
              </w:rPr>
            </w:pPr>
          </w:p>
        </w:tc>
        <w:tc>
          <w:tcPr>
            <w:tcW w:w="757" w:type="pct"/>
            <w:shd w:val="clear" w:color="auto" w:fill="FFFFFF"/>
            <w:vAlign w:val="bottom"/>
          </w:tcPr>
          <w:p w14:paraId="5C8E7CE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r>
      <w:tr w:rsidR="00161788" w:rsidRPr="00450FB4" w14:paraId="280223F5" w14:textId="77777777" w:rsidTr="00240B98">
        <w:trPr>
          <w:trHeight w:val="206"/>
        </w:trPr>
        <w:tc>
          <w:tcPr>
            <w:tcW w:w="897" w:type="pct"/>
            <w:shd w:val="clear" w:color="auto" w:fill="FFFFFF"/>
            <w:vAlign w:val="bottom"/>
          </w:tcPr>
          <w:p w14:paraId="02E08B3D"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J-Test</w:t>
            </w:r>
          </w:p>
        </w:tc>
        <w:tc>
          <w:tcPr>
            <w:tcW w:w="835" w:type="pct"/>
            <w:shd w:val="clear" w:color="auto" w:fill="FFFFFF"/>
            <w:vAlign w:val="bottom"/>
          </w:tcPr>
          <w:p w14:paraId="7B4A454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19.6200</w:t>
            </w:r>
          </w:p>
        </w:tc>
        <w:tc>
          <w:tcPr>
            <w:tcW w:w="836" w:type="pct"/>
            <w:shd w:val="clear" w:color="auto" w:fill="FFFFFF"/>
            <w:vAlign w:val="center"/>
          </w:tcPr>
          <w:p w14:paraId="6B4F9AE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78.6150</w:t>
            </w:r>
          </w:p>
        </w:tc>
        <w:tc>
          <w:tcPr>
            <w:tcW w:w="837" w:type="pct"/>
            <w:shd w:val="clear" w:color="auto" w:fill="FFFFFF"/>
            <w:vAlign w:val="center"/>
          </w:tcPr>
          <w:p w14:paraId="67F60A4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22.0000</w:t>
            </w:r>
          </w:p>
        </w:tc>
        <w:tc>
          <w:tcPr>
            <w:tcW w:w="837" w:type="pct"/>
            <w:shd w:val="clear" w:color="auto" w:fill="FFFFFF"/>
            <w:vAlign w:val="center"/>
          </w:tcPr>
          <w:p w14:paraId="64F5EDF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23.7800</w:t>
            </w:r>
          </w:p>
        </w:tc>
        <w:tc>
          <w:tcPr>
            <w:tcW w:w="757" w:type="pct"/>
            <w:shd w:val="clear" w:color="auto" w:fill="FFFFFF"/>
            <w:vAlign w:val="center"/>
          </w:tcPr>
          <w:p w14:paraId="49B7B75C"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43.6500</w:t>
            </w:r>
          </w:p>
        </w:tc>
      </w:tr>
      <w:tr w:rsidR="00161788" w:rsidRPr="00450FB4" w14:paraId="7887D3B4" w14:textId="77777777" w:rsidTr="00240B98">
        <w:trPr>
          <w:trHeight w:val="206"/>
        </w:trPr>
        <w:tc>
          <w:tcPr>
            <w:tcW w:w="897" w:type="pct"/>
            <w:shd w:val="clear" w:color="auto" w:fill="FFFFFF"/>
            <w:vAlign w:val="bottom"/>
          </w:tcPr>
          <w:p w14:paraId="752A382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degree of freedom</w:t>
            </w:r>
          </w:p>
        </w:tc>
        <w:tc>
          <w:tcPr>
            <w:tcW w:w="835" w:type="pct"/>
            <w:shd w:val="clear" w:color="auto" w:fill="FFFFFF"/>
            <w:vAlign w:val="bottom"/>
          </w:tcPr>
          <w:p w14:paraId="6FBA362B"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6.0000</w:t>
            </w:r>
          </w:p>
        </w:tc>
        <w:tc>
          <w:tcPr>
            <w:tcW w:w="836" w:type="pct"/>
            <w:shd w:val="clear" w:color="auto" w:fill="FFFFFF"/>
            <w:vAlign w:val="bottom"/>
          </w:tcPr>
          <w:p w14:paraId="55BCFA65"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7.0000</w:t>
            </w:r>
          </w:p>
        </w:tc>
        <w:tc>
          <w:tcPr>
            <w:tcW w:w="837" w:type="pct"/>
            <w:shd w:val="clear" w:color="auto" w:fill="FFFFFF"/>
            <w:vAlign w:val="bottom"/>
          </w:tcPr>
          <w:p w14:paraId="4DDEC86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5.0000</w:t>
            </w:r>
          </w:p>
        </w:tc>
        <w:tc>
          <w:tcPr>
            <w:tcW w:w="837" w:type="pct"/>
            <w:shd w:val="clear" w:color="auto" w:fill="FFFFFF"/>
            <w:vAlign w:val="bottom"/>
          </w:tcPr>
          <w:p w14:paraId="76BA53A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7.0000</w:t>
            </w:r>
          </w:p>
        </w:tc>
        <w:tc>
          <w:tcPr>
            <w:tcW w:w="757" w:type="pct"/>
            <w:shd w:val="clear" w:color="auto" w:fill="FFFFFF"/>
            <w:vAlign w:val="bottom"/>
          </w:tcPr>
          <w:p w14:paraId="6529329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7.0000</w:t>
            </w:r>
          </w:p>
        </w:tc>
      </w:tr>
      <w:tr w:rsidR="00161788" w:rsidRPr="00450FB4" w14:paraId="713AC8D9" w14:textId="77777777" w:rsidTr="00240B98">
        <w:trPr>
          <w:trHeight w:val="206"/>
        </w:trPr>
        <w:tc>
          <w:tcPr>
            <w:tcW w:w="897" w:type="pct"/>
            <w:shd w:val="clear" w:color="auto" w:fill="FFFFFF"/>
            <w:vAlign w:val="center"/>
          </w:tcPr>
          <w:p w14:paraId="0DD1875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P-value</w:t>
            </w:r>
          </w:p>
        </w:tc>
        <w:tc>
          <w:tcPr>
            <w:tcW w:w="835" w:type="pct"/>
            <w:shd w:val="clear" w:color="auto" w:fill="FFFFFF"/>
            <w:vAlign w:val="bottom"/>
          </w:tcPr>
          <w:p w14:paraId="3A4204A0"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836" w:type="pct"/>
            <w:shd w:val="clear" w:color="auto" w:fill="FFFFFF"/>
            <w:vAlign w:val="bottom"/>
          </w:tcPr>
          <w:p w14:paraId="11B836C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837" w:type="pct"/>
            <w:shd w:val="clear" w:color="auto" w:fill="FFFFFF"/>
            <w:vAlign w:val="bottom"/>
          </w:tcPr>
          <w:p w14:paraId="631B5E04"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c>
          <w:tcPr>
            <w:tcW w:w="837" w:type="pct"/>
            <w:shd w:val="clear" w:color="auto" w:fill="FFFFFF"/>
            <w:vAlign w:val="bottom"/>
          </w:tcPr>
          <w:p w14:paraId="2BF2AFD9"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1.0000</w:t>
            </w:r>
          </w:p>
        </w:tc>
        <w:tc>
          <w:tcPr>
            <w:tcW w:w="757" w:type="pct"/>
            <w:shd w:val="clear" w:color="auto" w:fill="FFFFFF"/>
            <w:vAlign w:val="bottom"/>
          </w:tcPr>
          <w:p w14:paraId="1850DCFE"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r>
      <w:tr w:rsidR="00161788" w:rsidRPr="00450FB4" w14:paraId="68873BAB" w14:textId="77777777" w:rsidTr="00240B98">
        <w:trPr>
          <w:trHeight w:val="206"/>
        </w:trPr>
        <w:tc>
          <w:tcPr>
            <w:tcW w:w="897" w:type="pct"/>
            <w:shd w:val="clear" w:color="auto" w:fill="FFFFFF"/>
            <w:vAlign w:val="bottom"/>
          </w:tcPr>
          <w:p w14:paraId="77381F18"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n-observation</w:t>
            </w:r>
          </w:p>
        </w:tc>
        <w:tc>
          <w:tcPr>
            <w:tcW w:w="835" w:type="pct"/>
            <w:shd w:val="clear" w:color="auto" w:fill="FFFFFF"/>
            <w:vAlign w:val="bottom"/>
          </w:tcPr>
          <w:p w14:paraId="3F0DDC1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317.0000</w:t>
            </w:r>
          </w:p>
        </w:tc>
        <w:tc>
          <w:tcPr>
            <w:tcW w:w="836" w:type="pct"/>
            <w:shd w:val="clear" w:color="auto" w:fill="FFFFFF"/>
            <w:vAlign w:val="bottom"/>
          </w:tcPr>
          <w:p w14:paraId="11C07E3A"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317.0000</w:t>
            </w:r>
          </w:p>
        </w:tc>
        <w:tc>
          <w:tcPr>
            <w:tcW w:w="837" w:type="pct"/>
            <w:shd w:val="clear" w:color="auto" w:fill="FFFFFF"/>
            <w:vAlign w:val="bottom"/>
          </w:tcPr>
          <w:p w14:paraId="20B728D3"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317.0000</w:t>
            </w:r>
          </w:p>
        </w:tc>
        <w:tc>
          <w:tcPr>
            <w:tcW w:w="837" w:type="pct"/>
            <w:shd w:val="clear" w:color="auto" w:fill="FFFFFF"/>
            <w:vAlign w:val="bottom"/>
          </w:tcPr>
          <w:p w14:paraId="2DA5F182"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317.0000</w:t>
            </w:r>
          </w:p>
        </w:tc>
        <w:tc>
          <w:tcPr>
            <w:tcW w:w="757" w:type="pct"/>
            <w:shd w:val="clear" w:color="auto" w:fill="FFFFFF"/>
            <w:vAlign w:val="bottom"/>
          </w:tcPr>
          <w:p w14:paraId="522ECD4F" w14:textId="77777777" w:rsidR="00A95558" w:rsidRPr="00450FB4" w:rsidRDefault="00D67080" w:rsidP="00240B98">
            <w:pPr>
              <w:widowControl/>
              <w:suppressAutoHyphens/>
              <w:autoSpaceDE/>
              <w:autoSpaceDN/>
              <w:jc w:val="both"/>
              <w:rPr>
                <w:color w:val="000000"/>
                <w:kern w:val="1"/>
                <w:sz w:val="20"/>
                <w:szCs w:val="20"/>
                <w:lang w:eastAsia="ar-SA"/>
              </w:rPr>
            </w:pPr>
            <w:r w:rsidRPr="00450FB4">
              <w:rPr>
                <w:color w:val="000000"/>
                <w:kern w:val="1"/>
                <w:sz w:val="20"/>
                <w:szCs w:val="20"/>
                <w:lang w:eastAsia="ar-SA"/>
              </w:rPr>
              <w:t>317.0000</w:t>
            </w:r>
          </w:p>
        </w:tc>
      </w:tr>
    </w:tbl>
    <w:p w14:paraId="27090582" w14:textId="77777777" w:rsidR="00A95558" w:rsidRPr="00450FB4" w:rsidRDefault="00D67080" w:rsidP="00A95558">
      <w:pPr>
        <w:widowControl/>
        <w:tabs>
          <w:tab w:val="left" w:pos="916"/>
          <w:tab w:val="left" w:pos="1832"/>
          <w:tab w:val="left" w:pos="2748"/>
          <w:tab w:val="left" w:pos="3664"/>
          <w:tab w:val="left" w:pos="40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color w:val="000000"/>
          <w:kern w:val="1"/>
          <w:sz w:val="20"/>
          <w:szCs w:val="20"/>
          <w:lang w:eastAsia="ar-SA"/>
        </w:rPr>
      </w:pPr>
      <w:r w:rsidRPr="00450FB4">
        <w:rPr>
          <w:color w:val="000000"/>
          <w:kern w:val="1"/>
          <w:sz w:val="20"/>
          <w:szCs w:val="20"/>
          <w:lang w:eastAsia="ar-SA"/>
        </w:rPr>
        <w:t>Signif. codes:  0 ‘***’ 0.001 ‘**’ 0.01 ‘*’ 0.05 ‘.’ 0.1 ‘ ’ 1; p-values are in square brackets; error terms are in parenthesis brackets.</w:t>
      </w:r>
    </w:p>
    <w:p w14:paraId="202525C5" w14:textId="77777777" w:rsidR="00A95558" w:rsidRPr="00450FB4" w:rsidRDefault="00A95558" w:rsidP="00A95558">
      <w:pPr>
        <w:widowControl/>
        <w:tabs>
          <w:tab w:val="left" w:pos="916"/>
          <w:tab w:val="left" w:pos="1832"/>
          <w:tab w:val="left" w:pos="2748"/>
          <w:tab w:val="left" w:pos="3664"/>
          <w:tab w:val="left" w:pos="402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color w:val="000000"/>
          <w:kern w:val="1"/>
          <w:sz w:val="20"/>
          <w:szCs w:val="20"/>
          <w:lang w:eastAsia="ar-SA"/>
        </w:rPr>
      </w:pPr>
    </w:p>
    <w:p w14:paraId="4C26AC5D" w14:textId="77777777" w:rsidR="00A95558" w:rsidRPr="00450FB4" w:rsidRDefault="00D67080" w:rsidP="00240B98">
      <w:pPr>
        <w:widowControl/>
        <w:numPr>
          <w:ilvl w:val="2"/>
          <w:numId w:val="18"/>
        </w:numPr>
        <w:suppressAutoHyphens/>
        <w:autoSpaceDE/>
        <w:autoSpaceDN/>
        <w:spacing w:after="160"/>
        <w:ind w:left="540" w:hanging="540"/>
        <w:jc w:val="both"/>
        <w:rPr>
          <w:bCs/>
          <w:i/>
          <w:color w:val="000000"/>
          <w:kern w:val="1"/>
          <w:sz w:val="24"/>
          <w:szCs w:val="24"/>
          <w:lang w:eastAsia="ar-SA"/>
        </w:rPr>
      </w:pPr>
      <w:r w:rsidRPr="00450FB4">
        <w:rPr>
          <w:bCs/>
          <w:i/>
          <w:color w:val="000000"/>
          <w:kern w:val="1"/>
          <w:sz w:val="24"/>
          <w:szCs w:val="24"/>
          <w:lang w:eastAsia="ar-SA"/>
        </w:rPr>
        <w:t xml:space="preserve">Impact of Mergers and Acquisitions on Financial Performance Metrics of Acquiring Firms in India based on </w:t>
      </w:r>
      <w:r w:rsidR="00240B98" w:rsidRPr="00450FB4">
        <w:rPr>
          <w:bCs/>
          <w:i/>
          <w:color w:val="000000"/>
          <w:kern w:val="1"/>
          <w:sz w:val="24"/>
          <w:szCs w:val="24"/>
          <w:lang w:eastAsia="ar-SA"/>
        </w:rPr>
        <w:t>M</w:t>
      </w:r>
      <w:r w:rsidRPr="00450FB4">
        <w:rPr>
          <w:bCs/>
          <w:i/>
          <w:color w:val="000000"/>
          <w:kern w:val="1"/>
          <w:sz w:val="24"/>
          <w:szCs w:val="24"/>
          <w:lang w:eastAsia="ar-SA"/>
        </w:rPr>
        <w:t>ixed Impacts of Fintech Mergers on Acquirers' Financial Performance in India: Insights from Fixed Effect Panel Regression Analysis:</w:t>
      </w:r>
    </w:p>
    <w:p w14:paraId="02AF55AA" w14:textId="77777777" w:rsidR="00A95558" w:rsidRPr="00450FB4" w:rsidRDefault="00D67080" w:rsidP="00A95558">
      <w:pPr>
        <w:widowControl/>
        <w:suppressAutoHyphens/>
        <w:autoSpaceDE/>
        <w:autoSpaceDN/>
        <w:spacing w:before="240"/>
        <w:jc w:val="both"/>
        <w:rPr>
          <w:b/>
          <w:bCs/>
          <w:color w:val="000000"/>
          <w:kern w:val="1"/>
          <w:sz w:val="24"/>
          <w:szCs w:val="24"/>
          <w:u w:val="single"/>
          <w:lang w:eastAsia="ar-SA"/>
        </w:rPr>
      </w:pPr>
      <w:r w:rsidRPr="00450FB4">
        <w:rPr>
          <w:iCs/>
          <w:color w:val="000000"/>
          <w:kern w:val="1"/>
          <w:sz w:val="24"/>
          <w:szCs w:val="24"/>
          <w:lang w:eastAsia="ar-SA"/>
        </w:rPr>
        <w:t xml:space="preserve">The fixed effect panel regression analysis in Table 8 reveals mixed impacts of M&amp;A’s between fintech and acquiring firms on various financial performance metrics of the acquirers in India. While M&amp;As significantly enhance market performance, as evidenced by the substantial positive impact on average share price (ASP), they do not consistently influence other metrics such as return on assets (ROA), net profit margin (NPM), current ratio (CR), and financial leverage </w:t>
      </w:r>
      <w:r w:rsidRPr="00450FB4">
        <w:rPr>
          <w:iCs/>
          <w:color w:val="000000"/>
          <w:kern w:val="1"/>
          <w:sz w:val="24"/>
          <w:szCs w:val="24"/>
          <w:lang w:eastAsia="ar-SA"/>
        </w:rPr>
        <w:lastRenderedPageBreak/>
        <w:t>(FL). Thus, while M&amp;As positively influence market-based performance, their impact on operational performance, liquidity, and financial leverage is less consistent and often overshadowed by internal financial variables.</w:t>
      </w:r>
    </w:p>
    <w:p w14:paraId="1B760120" w14:textId="77777777" w:rsidR="00A95558" w:rsidRPr="00450FB4" w:rsidRDefault="00A95558" w:rsidP="00A95558">
      <w:pPr>
        <w:widowControl/>
        <w:suppressAutoHyphens/>
        <w:autoSpaceDE/>
        <w:autoSpaceDN/>
        <w:jc w:val="both"/>
        <w:rPr>
          <w:b/>
          <w:bCs/>
          <w:color w:val="000000"/>
          <w:kern w:val="1"/>
          <w:sz w:val="24"/>
          <w:szCs w:val="24"/>
          <w:u w:val="single"/>
          <w:lang w:eastAsia="ar-SA"/>
        </w:rPr>
      </w:pPr>
    </w:p>
    <w:p w14:paraId="1915DC1B" w14:textId="77777777" w:rsidR="00A95558" w:rsidRPr="00450FB4" w:rsidRDefault="00D67080" w:rsidP="00A95558">
      <w:pPr>
        <w:widowControl/>
        <w:suppressAutoHyphens/>
        <w:autoSpaceDE/>
        <w:autoSpaceDN/>
        <w:jc w:val="center"/>
        <w:rPr>
          <w:b/>
          <w:bCs/>
          <w:color w:val="000000"/>
          <w:kern w:val="1"/>
          <w:sz w:val="24"/>
          <w:szCs w:val="24"/>
          <w:lang w:eastAsia="ar-SA"/>
        </w:rPr>
      </w:pPr>
      <w:r w:rsidRPr="00450FB4">
        <w:rPr>
          <w:b/>
          <w:bCs/>
          <w:color w:val="000000"/>
          <w:kern w:val="1"/>
          <w:sz w:val="24"/>
          <w:szCs w:val="24"/>
          <w:lang w:eastAsia="ar-SA"/>
        </w:rPr>
        <w:t>Table No 8: Fixed Effect Panel Regression of Mergers &amp; Acquisitions</w:t>
      </w:r>
    </w:p>
    <w:tbl>
      <w:tblPr>
        <w:tblW w:w="5000" w:type="pct"/>
        <w:tblBorders>
          <w:top w:val="single" w:sz="4" w:space="0" w:color="auto"/>
          <w:bottom w:val="single" w:sz="4" w:space="0" w:color="auto"/>
        </w:tblBorders>
        <w:tblLook w:val="0000" w:firstRow="0" w:lastRow="0" w:firstColumn="0" w:lastColumn="0" w:noHBand="0" w:noVBand="0"/>
      </w:tblPr>
      <w:tblGrid>
        <w:gridCol w:w="1436"/>
        <w:gridCol w:w="1227"/>
        <w:gridCol w:w="1227"/>
        <w:gridCol w:w="1352"/>
        <w:gridCol w:w="1229"/>
        <w:gridCol w:w="1229"/>
      </w:tblGrid>
      <w:tr w:rsidR="00161788" w:rsidRPr="00450FB4" w14:paraId="5556802B" w14:textId="77777777" w:rsidTr="000C7E69">
        <w:trPr>
          <w:trHeight w:val="282"/>
        </w:trPr>
        <w:tc>
          <w:tcPr>
            <w:tcW w:w="932" w:type="pct"/>
            <w:vMerge w:val="restart"/>
            <w:shd w:val="clear" w:color="auto" w:fill="auto"/>
          </w:tcPr>
          <w:p w14:paraId="76A9BA1E"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 </w:t>
            </w:r>
          </w:p>
          <w:p w14:paraId="68560795"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Explanatory Variable</w:t>
            </w:r>
          </w:p>
        </w:tc>
        <w:tc>
          <w:tcPr>
            <w:tcW w:w="797" w:type="pct"/>
            <w:tcBorders>
              <w:bottom w:val="nil"/>
            </w:tcBorders>
            <w:shd w:val="clear" w:color="auto" w:fill="auto"/>
          </w:tcPr>
          <w:p w14:paraId="476DD48B"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1</w:t>
            </w:r>
          </w:p>
        </w:tc>
        <w:tc>
          <w:tcPr>
            <w:tcW w:w="797" w:type="pct"/>
            <w:tcBorders>
              <w:bottom w:val="nil"/>
            </w:tcBorders>
            <w:shd w:val="clear" w:color="auto" w:fill="auto"/>
          </w:tcPr>
          <w:p w14:paraId="5B7FA42C"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2</w:t>
            </w:r>
          </w:p>
        </w:tc>
        <w:tc>
          <w:tcPr>
            <w:tcW w:w="878" w:type="pct"/>
            <w:tcBorders>
              <w:bottom w:val="nil"/>
            </w:tcBorders>
            <w:shd w:val="clear" w:color="auto" w:fill="auto"/>
          </w:tcPr>
          <w:p w14:paraId="4ACA175B"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3</w:t>
            </w:r>
          </w:p>
        </w:tc>
        <w:tc>
          <w:tcPr>
            <w:tcW w:w="798" w:type="pct"/>
            <w:tcBorders>
              <w:bottom w:val="nil"/>
            </w:tcBorders>
            <w:shd w:val="clear" w:color="auto" w:fill="auto"/>
          </w:tcPr>
          <w:p w14:paraId="45EEE310"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4</w:t>
            </w:r>
          </w:p>
        </w:tc>
        <w:tc>
          <w:tcPr>
            <w:tcW w:w="798" w:type="pct"/>
            <w:tcBorders>
              <w:bottom w:val="nil"/>
            </w:tcBorders>
            <w:shd w:val="clear" w:color="auto" w:fill="auto"/>
          </w:tcPr>
          <w:p w14:paraId="7889B0F4"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Model 5</w:t>
            </w:r>
          </w:p>
        </w:tc>
      </w:tr>
      <w:tr w:rsidR="00161788" w:rsidRPr="00450FB4" w14:paraId="6FA981DC" w14:textId="77777777" w:rsidTr="000C7E69">
        <w:trPr>
          <w:trHeight w:val="369"/>
        </w:trPr>
        <w:tc>
          <w:tcPr>
            <w:tcW w:w="932" w:type="pct"/>
            <w:vMerge/>
            <w:tcBorders>
              <w:bottom w:val="single" w:sz="4" w:space="0" w:color="auto"/>
            </w:tcBorders>
            <w:shd w:val="clear" w:color="auto" w:fill="auto"/>
          </w:tcPr>
          <w:p w14:paraId="727FD174" w14:textId="77777777" w:rsidR="00A95558" w:rsidRPr="00450FB4" w:rsidRDefault="00A95558" w:rsidP="00A95558">
            <w:pPr>
              <w:widowControl/>
              <w:suppressAutoHyphens/>
              <w:autoSpaceDE/>
              <w:autoSpaceDN/>
              <w:jc w:val="both"/>
              <w:rPr>
                <w:b/>
                <w:bCs/>
                <w:color w:val="000000"/>
                <w:kern w:val="1"/>
                <w:sz w:val="20"/>
                <w:szCs w:val="20"/>
                <w:lang w:eastAsia="ar-SA"/>
              </w:rPr>
            </w:pPr>
          </w:p>
        </w:tc>
        <w:tc>
          <w:tcPr>
            <w:tcW w:w="797" w:type="pct"/>
            <w:tcBorders>
              <w:top w:val="nil"/>
              <w:bottom w:val="single" w:sz="4" w:space="0" w:color="auto"/>
            </w:tcBorders>
            <w:shd w:val="clear" w:color="auto" w:fill="auto"/>
          </w:tcPr>
          <w:p w14:paraId="2C933532"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ROA</w:t>
            </w:r>
          </w:p>
        </w:tc>
        <w:tc>
          <w:tcPr>
            <w:tcW w:w="797" w:type="pct"/>
            <w:tcBorders>
              <w:top w:val="nil"/>
              <w:bottom w:val="single" w:sz="4" w:space="0" w:color="auto"/>
            </w:tcBorders>
            <w:shd w:val="clear" w:color="auto" w:fill="auto"/>
          </w:tcPr>
          <w:p w14:paraId="266C81ED"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NPM</w:t>
            </w:r>
          </w:p>
        </w:tc>
        <w:tc>
          <w:tcPr>
            <w:tcW w:w="878" w:type="pct"/>
            <w:tcBorders>
              <w:top w:val="nil"/>
              <w:bottom w:val="single" w:sz="4" w:space="0" w:color="auto"/>
            </w:tcBorders>
            <w:shd w:val="clear" w:color="auto" w:fill="auto"/>
          </w:tcPr>
          <w:p w14:paraId="2BC134DE"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ASP</w:t>
            </w:r>
          </w:p>
        </w:tc>
        <w:tc>
          <w:tcPr>
            <w:tcW w:w="798" w:type="pct"/>
            <w:tcBorders>
              <w:top w:val="nil"/>
              <w:bottom w:val="single" w:sz="4" w:space="0" w:color="auto"/>
            </w:tcBorders>
            <w:shd w:val="clear" w:color="auto" w:fill="auto"/>
          </w:tcPr>
          <w:p w14:paraId="2E160556"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CR</w:t>
            </w:r>
          </w:p>
        </w:tc>
        <w:tc>
          <w:tcPr>
            <w:tcW w:w="798" w:type="pct"/>
            <w:tcBorders>
              <w:top w:val="nil"/>
              <w:bottom w:val="single" w:sz="4" w:space="0" w:color="auto"/>
            </w:tcBorders>
            <w:shd w:val="clear" w:color="auto" w:fill="auto"/>
          </w:tcPr>
          <w:p w14:paraId="1DD7822C" w14:textId="77777777" w:rsidR="00A95558" w:rsidRPr="00450FB4" w:rsidRDefault="00D67080" w:rsidP="00A95558">
            <w:pPr>
              <w:widowControl/>
              <w:suppressAutoHyphens/>
              <w:autoSpaceDE/>
              <w:autoSpaceDN/>
              <w:jc w:val="both"/>
              <w:rPr>
                <w:b/>
                <w:bCs/>
                <w:color w:val="000000"/>
                <w:kern w:val="1"/>
                <w:sz w:val="20"/>
                <w:szCs w:val="20"/>
                <w:lang w:eastAsia="ar-SA"/>
              </w:rPr>
            </w:pPr>
            <w:r w:rsidRPr="00450FB4">
              <w:rPr>
                <w:b/>
                <w:bCs/>
                <w:color w:val="000000"/>
                <w:kern w:val="1"/>
                <w:sz w:val="20"/>
                <w:szCs w:val="20"/>
                <w:lang w:eastAsia="ar-SA"/>
              </w:rPr>
              <w:t>FL</w:t>
            </w:r>
          </w:p>
        </w:tc>
      </w:tr>
      <w:tr w:rsidR="00161788" w:rsidRPr="00450FB4" w14:paraId="71E3A396" w14:textId="77777777" w:rsidTr="000C7E69">
        <w:trPr>
          <w:trHeight w:val="282"/>
        </w:trPr>
        <w:tc>
          <w:tcPr>
            <w:tcW w:w="932" w:type="pct"/>
            <w:vMerge w:val="restart"/>
            <w:tcBorders>
              <w:top w:val="single" w:sz="4" w:space="0" w:color="auto"/>
            </w:tcBorders>
            <w:shd w:val="clear" w:color="auto" w:fill="auto"/>
          </w:tcPr>
          <w:p w14:paraId="54E7D7B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Constant</w:t>
            </w:r>
          </w:p>
        </w:tc>
        <w:tc>
          <w:tcPr>
            <w:tcW w:w="797" w:type="pct"/>
            <w:tcBorders>
              <w:top w:val="single" w:sz="4" w:space="0" w:color="auto"/>
            </w:tcBorders>
            <w:shd w:val="clear" w:color="auto" w:fill="auto"/>
          </w:tcPr>
          <w:p w14:paraId="5D4C99E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6.52***</w:t>
            </w:r>
          </w:p>
        </w:tc>
        <w:tc>
          <w:tcPr>
            <w:tcW w:w="797" w:type="pct"/>
            <w:tcBorders>
              <w:top w:val="single" w:sz="4" w:space="0" w:color="auto"/>
            </w:tcBorders>
            <w:shd w:val="clear" w:color="auto" w:fill="auto"/>
          </w:tcPr>
          <w:p w14:paraId="5EB9BCE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17.22***</w:t>
            </w:r>
          </w:p>
        </w:tc>
        <w:tc>
          <w:tcPr>
            <w:tcW w:w="878" w:type="pct"/>
            <w:tcBorders>
              <w:top w:val="single" w:sz="4" w:space="0" w:color="auto"/>
            </w:tcBorders>
            <w:shd w:val="clear" w:color="auto" w:fill="auto"/>
          </w:tcPr>
          <w:p w14:paraId="1691301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53.67</w:t>
            </w:r>
          </w:p>
        </w:tc>
        <w:tc>
          <w:tcPr>
            <w:tcW w:w="798" w:type="pct"/>
            <w:tcBorders>
              <w:top w:val="single" w:sz="4" w:space="0" w:color="auto"/>
            </w:tcBorders>
            <w:shd w:val="clear" w:color="auto" w:fill="auto"/>
          </w:tcPr>
          <w:p w14:paraId="5AEF4024"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3.09***</w:t>
            </w:r>
          </w:p>
        </w:tc>
        <w:tc>
          <w:tcPr>
            <w:tcW w:w="798" w:type="pct"/>
            <w:tcBorders>
              <w:top w:val="single" w:sz="4" w:space="0" w:color="auto"/>
            </w:tcBorders>
            <w:shd w:val="clear" w:color="auto" w:fill="auto"/>
          </w:tcPr>
          <w:p w14:paraId="277C981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-38.824*</w:t>
            </w:r>
          </w:p>
        </w:tc>
      </w:tr>
      <w:tr w:rsidR="00161788" w:rsidRPr="00450FB4" w14:paraId="28E6357E" w14:textId="77777777" w:rsidTr="000C7E69">
        <w:trPr>
          <w:trHeight w:val="282"/>
        </w:trPr>
        <w:tc>
          <w:tcPr>
            <w:tcW w:w="932" w:type="pct"/>
            <w:vMerge/>
            <w:shd w:val="clear" w:color="auto" w:fill="auto"/>
          </w:tcPr>
          <w:p w14:paraId="4507ADA6"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529D926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(1.54)</w:t>
            </w:r>
          </w:p>
        </w:tc>
        <w:tc>
          <w:tcPr>
            <w:tcW w:w="797" w:type="pct"/>
            <w:shd w:val="clear" w:color="auto" w:fill="auto"/>
          </w:tcPr>
          <w:p w14:paraId="0206056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(4.32)</w:t>
            </w:r>
          </w:p>
        </w:tc>
        <w:tc>
          <w:tcPr>
            <w:tcW w:w="878" w:type="pct"/>
            <w:shd w:val="clear" w:color="auto" w:fill="auto"/>
          </w:tcPr>
          <w:p w14:paraId="3C0A430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(191.33)</w:t>
            </w:r>
          </w:p>
        </w:tc>
        <w:tc>
          <w:tcPr>
            <w:tcW w:w="798" w:type="pct"/>
            <w:shd w:val="clear" w:color="auto" w:fill="auto"/>
          </w:tcPr>
          <w:p w14:paraId="70B9E14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(0.374)</w:t>
            </w:r>
          </w:p>
        </w:tc>
        <w:tc>
          <w:tcPr>
            <w:tcW w:w="798" w:type="pct"/>
            <w:shd w:val="clear" w:color="auto" w:fill="auto"/>
          </w:tcPr>
          <w:p w14:paraId="2605003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(19.09)</w:t>
            </w:r>
          </w:p>
        </w:tc>
      </w:tr>
      <w:tr w:rsidR="00161788" w:rsidRPr="00450FB4" w14:paraId="4BB2B6F1" w14:textId="77777777" w:rsidTr="000C7E69">
        <w:trPr>
          <w:trHeight w:val="174"/>
        </w:trPr>
        <w:tc>
          <w:tcPr>
            <w:tcW w:w="932" w:type="pct"/>
            <w:vMerge/>
            <w:shd w:val="clear" w:color="auto" w:fill="auto"/>
          </w:tcPr>
          <w:p w14:paraId="229EF1C0"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46AD177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797" w:type="pct"/>
            <w:shd w:val="clear" w:color="auto" w:fill="auto"/>
          </w:tcPr>
          <w:p w14:paraId="7969D2F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878" w:type="pct"/>
            <w:shd w:val="clear" w:color="auto" w:fill="auto"/>
          </w:tcPr>
          <w:p w14:paraId="6BD0654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[0.281]</w:t>
            </w:r>
          </w:p>
        </w:tc>
        <w:tc>
          <w:tcPr>
            <w:tcW w:w="798" w:type="pct"/>
            <w:shd w:val="clear" w:color="auto" w:fill="auto"/>
          </w:tcPr>
          <w:p w14:paraId="34C9B97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798" w:type="pct"/>
            <w:shd w:val="clear" w:color="auto" w:fill="auto"/>
          </w:tcPr>
          <w:p w14:paraId="39DC18D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[0.042]</w:t>
            </w:r>
          </w:p>
        </w:tc>
      </w:tr>
      <w:tr w:rsidR="00161788" w:rsidRPr="00450FB4" w14:paraId="15D1483D" w14:textId="77777777" w:rsidTr="000C7E69">
        <w:trPr>
          <w:trHeight w:val="282"/>
        </w:trPr>
        <w:tc>
          <w:tcPr>
            <w:tcW w:w="932" w:type="pct"/>
            <w:vMerge w:val="restart"/>
            <w:shd w:val="clear" w:color="auto" w:fill="auto"/>
          </w:tcPr>
          <w:p w14:paraId="2221218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Merger</w:t>
            </w:r>
          </w:p>
        </w:tc>
        <w:tc>
          <w:tcPr>
            <w:tcW w:w="797" w:type="pct"/>
            <w:shd w:val="clear" w:color="auto" w:fill="auto"/>
          </w:tcPr>
          <w:p w14:paraId="6C101A0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-0.450</w:t>
            </w:r>
          </w:p>
        </w:tc>
        <w:tc>
          <w:tcPr>
            <w:tcW w:w="797" w:type="pct"/>
            <w:shd w:val="clear" w:color="auto" w:fill="auto"/>
          </w:tcPr>
          <w:p w14:paraId="40C42EA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-0.67</w:t>
            </w:r>
          </w:p>
        </w:tc>
        <w:tc>
          <w:tcPr>
            <w:tcW w:w="878" w:type="pct"/>
            <w:shd w:val="clear" w:color="auto" w:fill="auto"/>
          </w:tcPr>
          <w:p w14:paraId="413F877A"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258.38***</w:t>
            </w:r>
          </w:p>
        </w:tc>
        <w:tc>
          <w:tcPr>
            <w:tcW w:w="798" w:type="pct"/>
            <w:shd w:val="clear" w:color="auto" w:fill="auto"/>
          </w:tcPr>
          <w:p w14:paraId="3D3D2AF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-0.115</w:t>
            </w:r>
          </w:p>
        </w:tc>
        <w:tc>
          <w:tcPr>
            <w:tcW w:w="798" w:type="pct"/>
            <w:shd w:val="clear" w:color="auto" w:fill="auto"/>
          </w:tcPr>
          <w:p w14:paraId="6EA6F350"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-5.512</w:t>
            </w:r>
          </w:p>
        </w:tc>
      </w:tr>
      <w:tr w:rsidR="00161788" w:rsidRPr="00450FB4" w14:paraId="486A8FE9" w14:textId="77777777" w:rsidTr="000C7E69">
        <w:trPr>
          <w:trHeight w:val="282"/>
        </w:trPr>
        <w:tc>
          <w:tcPr>
            <w:tcW w:w="932" w:type="pct"/>
            <w:vMerge/>
            <w:shd w:val="clear" w:color="auto" w:fill="auto"/>
          </w:tcPr>
          <w:p w14:paraId="18CD0F86"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0DD9467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(0.570)</w:t>
            </w:r>
          </w:p>
        </w:tc>
        <w:tc>
          <w:tcPr>
            <w:tcW w:w="797" w:type="pct"/>
            <w:shd w:val="clear" w:color="auto" w:fill="auto"/>
          </w:tcPr>
          <w:p w14:paraId="63714BA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(1.70)</w:t>
            </w:r>
          </w:p>
        </w:tc>
        <w:tc>
          <w:tcPr>
            <w:tcW w:w="878" w:type="pct"/>
            <w:shd w:val="clear" w:color="auto" w:fill="auto"/>
          </w:tcPr>
          <w:p w14:paraId="0C70FCC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(65.48)</w:t>
            </w:r>
          </w:p>
        </w:tc>
        <w:tc>
          <w:tcPr>
            <w:tcW w:w="798" w:type="pct"/>
            <w:shd w:val="clear" w:color="auto" w:fill="auto"/>
          </w:tcPr>
          <w:p w14:paraId="659DF1F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(0.139)</w:t>
            </w:r>
          </w:p>
        </w:tc>
        <w:tc>
          <w:tcPr>
            <w:tcW w:w="798" w:type="pct"/>
            <w:shd w:val="clear" w:color="auto" w:fill="auto"/>
          </w:tcPr>
          <w:p w14:paraId="7759BB1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(6.57)</w:t>
            </w:r>
          </w:p>
        </w:tc>
      </w:tr>
      <w:tr w:rsidR="00161788" w:rsidRPr="00450FB4" w14:paraId="321B1073" w14:textId="77777777" w:rsidTr="000C7E69">
        <w:trPr>
          <w:trHeight w:val="282"/>
        </w:trPr>
        <w:tc>
          <w:tcPr>
            <w:tcW w:w="932" w:type="pct"/>
            <w:vMerge/>
            <w:shd w:val="clear" w:color="auto" w:fill="auto"/>
          </w:tcPr>
          <w:p w14:paraId="3B1FA68D"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48453EF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[0.430]</w:t>
            </w:r>
          </w:p>
        </w:tc>
        <w:tc>
          <w:tcPr>
            <w:tcW w:w="797" w:type="pct"/>
            <w:shd w:val="clear" w:color="auto" w:fill="auto"/>
          </w:tcPr>
          <w:p w14:paraId="238CADF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[0.70]</w:t>
            </w:r>
          </w:p>
        </w:tc>
        <w:tc>
          <w:tcPr>
            <w:tcW w:w="878" w:type="pct"/>
            <w:shd w:val="clear" w:color="auto" w:fill="auto"/>
          </w:tcPr>
          <w:p w14:paraId="66F9E33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798" w:type="pct"/>
            <w:shd w:val="clear" w:color="auto" w:fill="auto"/>
          </w:tcPr>
          <w:p w14:paraId="1B8DDD8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[0.405]</w:t>
            </w:r>
          </w:p>
        </w:tc>
        <w:tc>
          <w:tcPr>
            <w:tcW w:w="798" w:type="pct"/>
            <w:shd w:val="clear" w:color="auto" w:fill="auto"/>
          </w:tcPr>
          <w:p w14:paraId="2C78D1F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[0.402]</w:t>
            </w:r>
          </w:p>
        </w:tc>
      </w:tr>
      <w:tr w:rsidR="00161788" w:rsidRPr="00450FB4" w14:paraId="60A0F478" w14:textId="77777777" w:rsidTr="000C7E69">
        <w:trPr>
          <w:trHeight w:val="282"/>
        </w:trPr>
        <w:tc>
          <w:tcPr>
            <w:tcW w:w="932" w:type="pct"/>
            <w:vMerge w:val="restart"/>
            <w:shd w:val="clear" w:color="auto" w:fill="auto"/>
          </w:tcPr>
          <w:p w14:paraId="5352D5F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NPM</w:t>
            </w:r>
          </w:p>
        </w:tc>
        <w:tc>
          <w:tcPr>
            <w:tcW w:w="797" w:type="pct"/>
            <w:shd w:val="clear" w:color="auto" w:fill="auto"/>
          </w:tcPr>
          <w:p w14:paraId="2BE6EB1A"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0.453***</w:t>
            </w:r>
          </w:p>
        </w:tc>
        <w:tc>
          <w:tcPr>
            <w:tcW w:w="797" w:type="pct"/>
            <w:shd w:val="clear" w:color="auto" w:fill="auto"/>
          </w:tcPr>
          <w:p w14:paraId="54D608C7"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321BAD4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6.89*</w:t>
            </w:r>
          </w:p>
        </w:tc>
        <w:tc>
          <w:tcPr>
            <w:tcW w:w="798" w:type="pct"/>
            <w:shd w:val="clear" w:color="auto" w:fill="auto"/>
          </w:tcPr>
          <w:p w14:paraId="6AD48291"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75A1F0D4"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134891ED" w14:textId="77777777" w:rsidTr="000C7E69">
        <w:trPr>
          <w:trHeight w:val="282"/>
        </w:trPr>
        <w:tc>
          <w:tcPr>
            <w:tcW w:w="932" w:type="pct"/>
            <w:vMerge/>
            <w:shd w:val="clear" w:color="auto" w:fill="auto"/>
          </w:tcPr>
          <w:p w14:paraId="19CF7863"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474A2AC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(0.023)</w:t>
            </w:r>
          </w:p>
        </w:tc>
        <w:tc>
          <w:tcPr>
            <w:tcW w:w="797" w:type="pct"/>
            <w:shd w:val="clear" w:color="auto" w:fill="auto"/>
          </w:tcPr>
          <w:p w14:paraId="03590D90"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0A69EFE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(2.74)</w:t>
            </w:r>
          </w:p>
        </w:tc>
        <w:tc>
          <w:tcPr>
            <w:tcW w:w="798" w:type="pct"/>
            <w:shd w:val="clear" w:color="auto" w:fill="auto"/>
          </w:tcPr>
          <w:p w14:paraId="1D265428"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62773C13"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2AAC214F" w14:textId="77777777" w:rsidTr="000C7E69">
        <w:trPr>
          <w:trHeight w:val="282"/>
        </w:trPr>
        <w:tc>
          <w:tcPr>
            <w:tcW w:w="932" w:type="pct"/>
            <w:vMerge/>
            <w:shd w:val="clear" w:color="auto" w:fill="auto"/>
          </w:tcPr>
          <w:p w14:paraId="6212EF96"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0B7E3A11"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797" w:type="pct"/>
            <w:shd w:val="clear" w:color="auto" w:fill="auto"/>
          </w:tcPr>
          <w:p w14:paraId="04865939"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31199847"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[0.012]</w:t>
            </w:r>
          </w:p>
        </w:tc>
        <w:tc>
          <w:tcPr>
            <w:tcW w:w="798" w:type="pct"/>
            <w:shd w:val="clear" w:color="auto" w:fill="auto"/>
          </w:tcPr>
          <w:p w14:paraId="3DF3BAF4"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4A57F057"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2D61EA88" w14:textId="77777777" w:rsidTr="000C7E69">
        <w:trPr>
          <w:trHeight w:val="282"/>
        </w:trPr>
        <w:tc>
          <w:tcPr>
            <w:tcW w:w="932" w:type="pct"/>
            <w:vMerge w:val="restart"/>
            <w:shd w:val="clear" w:color="auto" w:fill="auto"/>
          </w:tcPr>
          <w:p w14:paraId="2886962A"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CR</w:t>
            </w:r>
          </w:p>
        </w:tc>
        <w:tc>
          <w:tcPr>
            <w:tcW w:w="797" w:type="pct"/>
            <w:shd w:val="clear" w:color="auto" w:fill="auto"/>
          </w:tcPr>
          <w:p w14:paraId="4E3B8127"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5BD6A256"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541EB00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-54.835</w:t>
            </w:r>
          </w:p>
        </w:tc>
        <w:tc>
          <w:tcPr>
            <w:tcW w:w="798" w:type="pct"/>
            <w:shd w:val="clear" w:color="auto" w:fill="auto"/>
          </w:tcPr>
          <w:p w14:paraId="3854073C"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0AA66AF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-18.010***</w:t>
            </w:r>
          </w:p>
        </w:tc>
      </w:tr>
      <w:tr w:rsidR="00161788" w:rsidRPr="00450FB4" w14:paraId="1BDAF87F" w14:textId="77777777" w:rsidTr="000C7E69">
        <w:trPr>
          <w:trHeight w:val="282"/>
        </w:trPr>
        <w:tc>
          <w:tcPr>
            <w:tcW w:w="932" w:type="pct"/>
            <w:vMerge/>
            <w:shd w:val="clear" w:color="auto" w:fill="auto"/>
          </w:tcPr>
          <w:p w14:paraId="206F3FB8"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66EC474A"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1177CCBC"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3BF5FC8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(24.57)</w:t>
            </w:r>
          </w:p>
        </w:tc>
        <w:tc>
          <w:tcPr>
            <w:tcW w:w="798" w:type="pct"/>
            <w:shd w:val="clear" w:color="auto" w:fill="auto"/>
          </w:tcPr>
          <w:p w14:paraId="66E56B4E"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0A528C3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(2.235)</w:t>
            </w:r>
          </w:p>
        </w:tc>
      </w:tr>
      <w:tr w:rsidR="00161788" w:rsidRPr="00450FB4" w14:paraId="0215FB1D" w14:textId="77777777" w:rsidTr="000C7E69">
        <w:trPr>
          <w:trHeight w:val="282"/>
        </w:trPr>
        <w:tc>
          <w:tcPr>
            <w:tcW w:w="932" w:type="pct"/>
            <w:vMerge/>
            <w:shd w:val="clear" w:color="auto" w:fill="auto"/>
          </w:tcPr>
          <w:p w14:paraId="3A7BEF09"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3F8E1060"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48170020"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878" w:type="pct"/>
            <w:shd w:val="clear" w:color="auto" w:fill="auto"/>
          </w:tcPr>
          <w:p w14:paraId="356CAFE1"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[0.026]</w:t>
            </w:r>
          </w:p>
        </w:tc>
        <w:tc>
          <w:tcPr>
            <w:tcW w:w="798" w:type="pct"/>
            <w:shd w:val="clear" w:color="auto" w:fill="auto"/>
          </w:tcPr>
          <w:p w14:paraId="25A425EE"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8" w:type="pct"/>
            <w:shd w:val="clear" w:color="auto" w:fill="auto"/>
          </w:tcPr>
          <w:p w14:paraId="254FD11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r>
      <w:tr w:rsidR="00161788" w:rsidRPr="00450FB4" w14:paraId="72AEB7C7" w14:textId="77777777" w:rsidTr="000C7E69">
        <w:trPr>
          <w:trHeight w:val="282"/>
        </w:trPr>
        <w:tc>
          <w:tcPr>
            <w:tcW w:w="932" w:type="pct"/>
            <w:vMerge w:val="restart"/>
            <w:shd w:val="clear" w:color="auto" w:fill="auto"/>
          </w:tcPr>
          <w:p w14:paraId="204F362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FL</w:t>
            </w:r>
          </w:p>
        </w:tc>
        <w:tc>
          <w:tcPr>
            <w:tcW w:w="797" w:type="pct"/>
            <w:shd w:val="clear" w:color="auto" w:fill="auto"/>
          </w:tcPr>
          <w:p w14:paraId="19DCDC2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-0.034***</w:t>
            </w:r>
          </w:p>
        </w:tc>
        <w:tc>
          <w:tcPr>
            <w:tcW w:w="797" w:type="pct"/>
            <w:shd w:val="clear" w:color="auto" w:fill="auto"/>
          </w:tcPr>
          <w:p w14:paraId="48F74D57"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-0.01</w:t>
            </w:r>
          </w:p>
        </w:tc>
        <w:tc>
          <w:tcPr>
            <w:tcW w:w="878" w:type="pct"/>
            <w:shd w:val="clear" w:color="auto" w:fill="auto"/>
          </w:tcPr>
          <w:p w14:paraId="525ED5C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-1.84***</w:t>
            </w:r>
          </w:p>
        </w:tc>
        <w:tc>
          <w:tcPr>
            <w:tcW w:w="798" w:type="pct"/>
            <w:shd w:val="clear" w:color="auto" w:fill="auto"/>
          </w:tcPr>
          <w:p w14:paraId="1B3BFE9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-0.008***</w:t>
            </w:r>
          </w:p>
        </w:tc>
        <w:tc>
          <w:tcPr>
            <w:tcW w:w="798" w:type="pct"/>
            <w:shd w:val="clear" w:color="auto" w:fill="auto"/>
          </w:tcPr>
          <w:p w14:paraId="67A2FC1C"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026E7FDD" w14:textId="77777777" w:rsidTr="000C7E69">
        <w:trPr>
          <w:trHeight w:val="282"/>
        </w:trPr>
        <w:tc>
          <w:tcPr>
            <w:tcW w:w="932" w:type="pct"/>
            <w:vMerge/>
            <w:shd w:val="clear" w:color="auto" w:fill="auto"/>
          </w:tcPr>
          <w:p w14:paraId="33CD45EE"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6500800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(0.004)</w:t>
            </w:r>
          </w:p>
        </w:tc>
        <w:tc>
          <w:tcPr>
            <w:tcW w:w="797" w:type="pct"/>
            <w:shd w:val="clear" w:color="auto" w:fill="auto"/>
          </w:tcPr>
          <w:p w14:paraId="5F3C215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878" w:type="pct"/>
            <w:shd w:val="clear" w:color="auto" w:fill="auto"/>
          </w:tcPr>
          <w:p w14:paraId="20D9266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(0.520)</w:t>
            </w:r>
          </w:p>
        </w:tc>
        <w:tc>
          <w:tcPr>
            <w:tcW w:w="798" w:type="pct"/>
            <w:shd w:val="clear" w:color="auto" w:fill="auto"/>
          </w:tcPr>
          <w:p w14:paraId="45A2548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(0.001)</w:t>
            </w:r>
          </w:p>
        </w:tc>
        <w:tc>
          <w:tcPr>
            <w:tcW w:w="798" w:type="pct"/>
            <w:shd w:val="clear" w:color="auto" w:fill="auto"/>
          </w:tcPr>
          <w:p w14:paraId="7F9140C3"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0631FB17" w14:textId="77777777" w:rsidTr="000C7E69">
        <w:trPr>
          <w:trHeight w:val="282"/>
        </w:trPr>
        <w:tc>
          <w:tcPr>
            <w:tcW w:w="932" w:type="pct"/>
            <w:vMerge/>
            <w:shd w:val="clear" w:color="auto" w:fill="auto"/>
          </w:tcPr>
          <w:p w14:paraId="642C010C"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0731194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797" w:type="pct"/>
            <w:shd w:val="clear" w:color="auto" w:fill="auto"/>
          </w:tcPr>
          <w:p w14:paraId="01A49E0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[0.05]</w:t>
            </w:r>
          </w:p>
        </w:tc>
        <w:tc>
          <w:tcPr>
            <w:tcW w:w="878" w:type="pct"/>
            <w:shd w:val="clear" w:color="auto" w:fill="auto"/>
          </w:tcPr>
          <w:p w14:paraId="235034F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798" w:type="pct"/>
            <w:shd w:val="clear" w:color="auto" w:fill="auto"/>
          </w:tcPr>
          <w:p w14:paraId="570C8BD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w:t>
            </w:r>
          </w:p>
        </w:tc>
        <w:tc>
          <w:tcPr>
            <w:tcW w:w="798" w:type="pct"/>
            <w:shd w:val="clear" w:color="auto" w:fill="auto"/>
          </w:tcPr>
          <w:p w14:paraId="175DD7F1" w14:textId="77777777" w:rsidR="00A95558" w:rsidRPr="00450FB4" w:rsidRDefault="00A95558" w:rsidP="00A95558">
            <w:pPr>
              <w:widowControl/>
              <w:suppressAutoHyphens/>
              <w:autoSpaceDE/>
              <w:autoSpaceDN/>
              <w:jc w:val="both"/>
              <w:rPr>
                <w:color w:val="000000"/>
                <w:kern w:val="1"/>
                <w:sz w:val="20"/>
                <w:szCs w:val="20"/>
                <w:lang w:eastAsia="ar-SA"/>
              </w:rPr>
            </w:pPr>
          </w:p>
        </w:tc>
      </w:tr>
      <w:tr w:rsidR="00161788" w:rsidRPr="00450FB4" w14:paraId="55AD7886" w14:textId="77777777" w:rsidTr="000C7E69">
        <w:trPr>
          <w:trHeight w:val="282"/>
        </w:trPr>
        <w:tc>
          <w:tcPr>
            <w:tcW w:w="932" w:type="pct"/>
            <w:vMerge w:val="restart"/>
            <w:shd w:val="clear" w:color="auto" w:fill="auto"/>
          </w:tcPr>
          <w:p w14:paraId="467A603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Log_AS</w:t>
            </w:r>
          </w:p>
        </w:tc>
        <w:tc>
          <w:tcPr>
            <w:tcW w:w="797" w:type="pct"/>
            <w:shd w:val="clear" w:color="auto" w:fill="auto"/>
          </w:tcPr>
          <w:p w14:paraId="5FCA2D64"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0.050*</w:t>
            </w:r>
          </w:p>
        </w:tc>
        <w:tc>
          <w:tcPr>
            <w:tcW w:w="797" w:type="pct"/>
            <w:shd w:val="clear" w:color="auto" w:fill="auto"/>
          </w:tcPr>
          <w:p w14:paraId="6A3C487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-0.63</w:t>
            </w:r>
          </w:p>
        </w:tc>
        <w:tc>
          <w:tcPr>
            <w:tcW w:w="878" w:type="pct"/>
            <w:shd w:val="clear" w:color="auto" w:fill="auto"/>
          </w:tcPr>
          <w:p w14:paraId="25B5EA9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41.247*</w:t>
            </w:r>
          </w:p>
        </w:tc>
        <w:tc>
          <w:tcPr>
            <w:tcW w:w="798" w:type="pct"/>
            <w:shd w:val="clear" w:color="auto" w:fill="auto"/>
          </w:tcPr>
          <w:p w14:paraId="4EF523A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-0.50</w:t>
            </w:r>
          </w:p>
        </w:tc>
        <w:tc>
          <w:tcPr>
            <w:tcW w:w="798" w:type="pct"/>
            <w:shd w:val="clear" w:color="auto" w:fill="auto"/>
          </w:tcPr>
          <w:p w14:paraId="2D66A3FA"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12.17***</w:t>
            </w:r>
          </w:p>
        </w:tc>
      </w:tr>
      <w:tr w:rsidR="00161788" w:rsidRPr="00450FB4" w14:paraId="1FCBDA2C" w14:textId="77777777" w:rsidTr="000C7E69">
        <w:trPr>
          <w:trHeight w:val="282"/>
        </w:trPr>
        <w:tc>
          <w:tcPr>
            <w:tcW w:w="932" w:type="pct"/>
            <w:vMerge/>
            <w:shd w:val="clear" w:color="auto" w:fill="auto"/>
          </w:tcPr>
          <w:p w14:paraId="7AF58A30"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38C347A7"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(0.142)</w:t>
            </w:r>
          </w:p>
        </w:tc>
        <w:tc>
          <w:tcPr>
            <w:tcW w:w="797" w:type="pct"/>
            <w:shd w:val="clear" w:color="auto" w:fill="auto"/>
          </w:tcPr>
          <w:p w14:paraId="36A0A10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(0.38)</w:t>
            </w:r>
          </w:p>
        </w:tc>
        <w:tc>
          <w:tcPr>
            <w:tcW w:w="878" w:type="pct"/>
            <w:shd w:val="clear" w:color="auto" w:fill="auto"/>
          </w:tcPr>
          <w:p w14:paraId="4B4DFE01"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(16.41)</w:t>
            </w:r>
          </w:p>
        </w:tc>
        <w:tc>
          <w:tcPr>
            <w:tcW w:w="798" w:type="pct"/>
            <w:shd w:val="clear" w:color="auto" w:fill="auto"/>
          </w:tcPr>
          <w:p w14:paraId="0A164741"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(0.034)</w:t>
            </w:r>
          </w:p>
        </w:tc>
        <w:tc>
          <w:tcPr>
            <w:tcW w:w="798" w:type="pct"/>
            <w:shd w:val="clear" w:color="auto" w:fill="auto"/>
          </w:tcPr>
          <w:p w14:paraId="13B848C1"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(1.523)</w:t>
            </w:r>
          </w:p>
        </w:tc>
      </w:tr>
      <w:tr w:rsidR="00161788" w:rsidRPr="00450FB4" w14:paraId="7835149C" w14:textId="77777777" w:rsidTr="000C7E69">
        <w:trPr>
          <w:trHeight w:val="282"/>
        </w:trPr>
        <w:tc>
          <w:tcPr>
            <w:tcW w:w="932" w:type="pct"/>
            <w:vMerge/>
            <w:shd w:val="clear" w:color="auto" w:fill="auto"/>
          </w:tcPr>
          <w:p w14:paraId="6A7D9D74"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700E5250"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[0.721]</w:t>
            </w:r>
          </w:p>
        </w:tc>
        <w:tc>
          <w:tcPr>
            <w:tcW w:w="797" w:type="pct"/>
            <w:shd w:val="clear" w:color="auto" w:fill="auto"/>
          </w:tcPr>
          <w:p w14:paraId="7078CBD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[0.10]</w:t>
            </w:r>
          </w:p>
        </w:tc>
        <w:tc>
          <w:tcPr>
            <w:tcW w:w="878" w:type="pct"/>
            <w:shd w:val="clear" w:color="auto" w:fill="auto"/>
          </w:tcPr>
          <w:p w14:paraId="6530A57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[0.123]</w:t>
            </w:r>
          </w:p>
        </w:tc>
        <w:tc>
          <w:tcPr>
            <w:tcW w:w="798" w:type="pct"/>
            <w:shd w:val="clear" w:color="auto" w:fill="auto"/>
          </w:tcPr>
          <w:p w14:paraId="164970A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[0.148]</w:t>
            </w:r>
          </w:p>
        </w:tc>
        <w:tc>
          <w:tcPr>
            <w:tcW w:w="798" w:type="pct"/>
            <w:shd w:val="clear" w:color="auto" w:fill="auto"/>
          </w:tcPr>
          <w:p w14:paraId="1A743C2C"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[0.0000]</w:t>
            </w:r>
          </w:p>
        </w:tc>
      </w:tr>
      <w:tr w:rsidR="00161788" w:rsidRPr="00450FB4" w14:paraId="1534D903" w14:textId="77777777" w:rsidTr="000C7E69">
        <w:trPr>
          <w:trHeight w:val="563"/>
        </w:trPr>
        <w:tc>
          <w:tcPr>
            <w:tcW w:w="932" w:type="pct"/>
            <w:shd w:val="clear" w:color="auto" w:fill="auto"/>
          </w:tcPr>
          <w:p w14:paraId="2764A075" w14:textId="77777777" w:rsidR="00A95558" w:rsidRPr="00450FB4" w:rsidRDefault="00A95558" w:rsidP="00A95558">
            <w:pPr>
              <w:widowControl/>
              <w:suppressAutoHyphens/>
              <w:autoSpaceDE/>
              <w:autoSpaceDN/>
              <w:jc w:val="both"/>
              <w:rPr>
                <w:color w:val="000000"/>
                <w:kern w:val="1"/>
                <w:sz w:val="20"/>
                <w:szCs w:val="20"/>
                <w:lang w:eastAsia="ar-SA"/>
              </w:rPr>
            </w:pPr>
          </w:p>
        </w:tc>
        <w:tc>
          <w:tcPr>
            <w:tcW w:w="797" w:type="pct"/>
            <w:shd w:val="clear" w:color="auto" w:fill="auto"/>
          </w:tcPr>
          <w:p w14:paraId="5A6C5EA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Hausman Test</w:t>
            </w:r>
          </w:p>
        </w:tc>
        <w:tc>
          <w:tcPr>
            <w:tcW w:w="797" w:type="pct"/>
            <w:shd w:val="clear" w:color="auto" w:fill="auto"/>
          </w:tcPr>
          <w:p w14:paraId="0A78F934"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Hausman Test</w:t>
            </w:r>
          </w:p>
        </w:tc>
        <w:tc>
          <w:tcPr>
            <w:tcW w:w="878" w:type="pct"/>
            <w:shd w:val="clear" w:color="auto" w:fill="auto"/>
          </w:tcPr>
          <w:p w14:paraId="5DFCF80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Hausman Test</w:t>
            </w:r>
          </w:p>
        </w:tc>
        <w:tc>
          <w:tcPr>
            <w:tcW w:w="798" w:type="pct"/>
            <w:shd w:val="clear" w:color="auto" w:fill="auto"/>
          </w:tcPr>
          <w:p w14:paraId="4CC366C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Hausman Test</w:t>
            </w:r>
          </w:p>
        </w:tc>
        <w:tc>
          <w:tcPr>
            <w:tcW w:w="798" w:type="pct"/>
            <w:shd w:val="clear" w:color="auto" w:fill="auto"/>
          </w:tcPr>
          <w:p w14:paraId="7F4BACE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Hausman Test</w:t>
            </w:r>
          </w:p>
        </w:tc>
      </w:tr>
      <w:tr w:rsidR="00161788" w:rsidRPr="00450FB4" w14:paraId="2E1AB549" w14:textId="77777777" w:rsidTr="000C7E69">
        <w:trPr>
          <w:trHeight w:val="282"/>
        </w:trPr>
        <w:tc>
          <w:tcPr>
            <w:tcW w:w="932" w:type="pct"/>
            <w:shd w:val="clear" w:color="auto" w:fill="auto"/>
          </w:tcPr>
          <w:p w14:paraId="2775F97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chi-Square</w:t>
            </w:r>
          </w:p>
        </w:tc>
        <w:tc>
          <w:tcPr>
            <w:tcW w:w="797" w:type="pct"/>
            <w:shd w:val="clear" w:color="auto" w:fill="auto"/>
          </w:tcPr>
          <w:p w14:paraId="73F03EF7"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40.816</w:t>
            </w:r>
          </w:p>
        </w:tc>
        <w:tc>
          <w:tcPr>
            <w:tcW w:w="797" w:type="pct"/>
            <w:shd w:val="clear" w:color="auto" w:fill="auto"/>
          </w:tcPr>
          <w:p w14:paraId="62AC89C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3.098</w:t>
            </w:r>
          </w:p>
        </w:tc>
        <w:tc>
          <w:tcPr>
            <w:tcW w:w="878" w:type="pct"/>
            <w:shd w:val="clear" w:color="auto" w:fill="auto"/>
          </w:tcPr>
          <w:p w14:paraId="102EA7D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37.64</w:t>
            </w:r>
          </w:p>
        </w:tc>
        <w:tc>
          <w:tcPr>
            <w:tcW w:w="798" w:type="pct"/>
            <w:shd w:val="clear" w:color="auto" w:fill="auto"/>
          </w:tcPr>
          <w:p w14:paraId="68E9589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14.3</w:t>
            </w:r>
          </w:p>
        </w:tc>
        <w:tc>
          <w:tcPr>
            <w:tcW w:w="798" w:type="pct"/>
            <w:shd w:val="clear" w:color="auto" w:fill="auto"/>
          </w:tcPr>
          <w:p w14:paraId="5AF96EC0"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21.515</w:t>
            </w:r>
          </w:p>
        </w:tc>
      </w:tr>
      <w:tr w:rsidR="00161788" w:rsidRPr="00450FB4" w14:paraId="5AFB1677" w14:textId="77777777" w:rsidTr="000C7E69">
        <w:trPr>
          <w:trHeight w:val="282"/>
        </w:trPr>
        <w:tc>
          <w:tcPr>
            <w:tcW w:w="932" w:type="pct"/>
            <w:shd w:val="clear" w:color="auto" w:fill="auto"/>
          </w:tcPr>
          <w:p w14:paraId="51A97CD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df</w:t>
            </w:r>
          </w:p>
        </w:tc>
        <w:tc>
          <w:tcPr>
            <w:tcW w:w="797" w:type="pct"/>
            <w:shd w:val="clear" w:color="auto" w:fill="auto"/>
          </w:tcPr>
          <w:p w14:paraId="6E26732E"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4.00</w:t>
            </w:r>
          </w:p>
        </w:tc>
        <w:tc>
          <w:tcPr>
            <w:tcW w:w="797" w:type="pct"/>
            <w:shd w:val="clear" w:color="auto" w:fill="auto"/>
          </w:tcPr>
          <w:p w14:paraId="541DA552"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3.00</w:t>
            </w:r>
          </w:p>
        </w:tc>
        <w:tc>
          <w:tcPr>
            <w:tcW w:w="878" w:type="pct"/>
            <w:shd w:val="clear" w:color="auto" w:fill="auto"/>
          </w:tcPr>
          <w:p w14:paraId="105C0D2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5.00</w:t>
            </w:r>
          </w:p>
        </w:tc>
        <w:tc>
          <w:tcPr>
            <w:tcW w:w="798" w:type="pct"/>
            <w:shd w:val="clear" w:color="auto" w:fill="auto"/>
          </w:tcPr>
          <w:p w14:paraId="3670C31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3.00</w:t>
            </w:r>
          </w:p>
        </w:tc>
        <w:tc>
          <w:tcPr>
            <w:tcW w:w="798" w:type="pct"/>
            <w:shd w:val="clear" w:color="auto" w:fill="auto"/>
          </w:tcPr>
          <w:p w14:paraId="1EF93F3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3.00</w:t>
            </w:r>
          </w:p>
        </w:tc>
      </w:tr>
      <w:tr w:rsidR="00161788" w:rsidRPr="00450FB4" w14:paraId="0DC77E00" w14:textId="77777777" w:rsidTr="000C7E69">
        <w:trPr>
          <w:trHeight w:val="282"/>
        </w:trPr>
        <w:tc>
          <w:tcPr>
            <w:tcW w:w="932" w:type="pct"/>
            <w:shd w:val="clear" w:color="auto" w:fill="auto"/>
          </w:tcPr>
          <w:p w14:paraId="6D99CC3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p-Value</w:t>
            </w:r>
          </w:p>
        </w:tc>
        <w:tc>
          <w:tcPr>
            <w:tcW w:w="797" w:type="pct"/>
            <w:shd w:val="clear" w:color="auto" w:fill="auto"/>
          </w:tcPr>
          <w:p w14:paraId="403D276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797" w:type="pct"/>
            <w:shd w:val="clear" w:color="auto" w:fill="auto"/>
          </w:tcPr>
          <w:p w14:paraId="051DCCA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0.376</w:t>
            </w:r>
          </w:p>
        </w:tc>
        <w:tc>
          <w:tcPr>
            <w:tcW w:w="878" w:type="pct"/>
            <w:shd w:val="clear" w:color="auto" w:fill="auto"/>
          </w:tcPr>
          <w:p w14:paraId="6341C10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c>
          <w:tcPr>
            <w:tcW w:w="798" w:type="pct"/>
            <w:shd w:val="clear" w:color="auto" w:fill="auto"/>
          </w:tcPr>
          <w:p w14:paraId="6C97A5A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0.002</w:t>
            </w:r>
          </w:p>
        </w:tc>
        <w:tc>
          <w:tcPr>
            <w:tcW w:w="798" w:type="pct"/>
            <w:shd w:val="clear" w:color="auto" w:fill="auto"/>
          </w:tcPr>
          <w:p w14:paraId="10BBC028"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0.00</w:t>
            </w:r>
          </w:p>
        </w:tc>
      </w:tr>
      <w:tr w:rsidR="00161788" w:rsidRPr="00450FB4" w14:paraId="44473944" w14:textId="77777777" w:rsidTr="000C7E69">
        <w:trPr>
          <w:trHeight w:val="282"/>
        </w:trPr>
        <w:tc>
          <w:tcPr>
            <w:tcW w:w="932" w:type="pct"/>
            <w:shd w:val="clear" w:color="auto" w:fill="auto"/>
          </w:tcPr>
          <w:p w14:paraId="393973B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R-Square</w:t>
            </w:r>
          </w:p>
        </w:tc>
        <w:tc>
          <w:tcPr>
            <w:tcW w:w="797" w:type="pct"/>
            <w:shd w:val="clear" w:color="auto" w:fill="auto"/>
          </w:tcPr>
          <w:p w14:paraId="6C18B8F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0.61</w:t>
            </w:r>
          </w:p>
        </w:tc>
        <w:tc>
          <w:tcPr>
            <w:tcW w:w="797" w:type="pct"/>
            <w:shd w:val="clear" w:color="auto" w:fill="auto"/>
          </w:tcPr>
          <w:p w14:paraId="0B7C2616"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0.09</w:t>
            </w:r>
          </w:p>
        </w:tc>
        <w:tc>
          <w:tcPr>
            <w:tcW w:w="878" w:type="pct"/>
            <w:shd w:val="clear" w:color="auto" w:fill="auto"/>
          </w:tcPr>
          <w:p w14:paraId="34CDCB5F"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0.10</w:t>
            </w:r>
          </w:p>
        </w:tc>
        <w:tc>
          <w:tcPr>
            <w:tcW w:w="798" w:type="pct"/>
            <w:shd w:val="clear" w:color="auto" w:fill="auto"/>
          </w:tcPr>
          <w:p w14:paraId="55FFC9E3"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0.203</w:t>
            </w:r>
          </w:p>
        </w:tc>
        <w:tc>
          <w:tcPr>
            <w:tcW w:w="798" w:type="pct"/>
            <w:shd w:val="clear" w:color="auto" w:fill="auto"/>
          </w:tcPr>
          <w:p w14:paraId="50F0E327"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0.31</w:t>
            </w:r>
          </w:p>
        </w:tc>
      </w:tr>
      <w:tr w:rsidR="00161788" w:rsidRPr="00450FB4" w14:paraId="46891F59" w14:textId="77777777" w:rsidTr="000C7E69">
        <w:trPr>
          <w:trHeight w:val="282"/>
        </w:trPr>
        <w:tc>
          <w:tcPr>
            <w:tcW w:w="932" w:type="pct"/>
            <w:shd w:val="clear" w:color="auto" w:fill="auto"/>
          </w:tcPr>
          <w:p w14:paraId="7B6CC755"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Adjusted R2</w:t>
            </w:r>
          </w:p>
        </w:tc>
        <w:tc>
          <w:tcPr>
            <w:tcW w:w="797" w:type="pct"/>
            <w:shd w:val="clear" w:color="auto" w:fill="auto"/>
          </w:tcPr>
          <w:p w14:paraId="1727FBB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0.61</w:t>
            </w:r>
          </w:p>
        </w:tc>
        <w:tc>
          <w:tcPr>
            <w:tcW w:w="797" w:type="pct"/>
            <w:shd w:val="clear" w:color="auto" w:fill="auto"/>
          </w:tcPr>
          <w:p w14:paraId="73F094C9"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0.08</w:t>
            </w:r>
          </w:p>
        </w:tc>
        <w:tc>
          <w:tcPr>
            <w:tcW w:w="878" w:type="pct"/>
            <w:shd w:val="clear" w:color="auto" w:fill="auto"/>
          </w:tcPr>
          <w:p w14:paraId="6F88E624"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0.09</w:t>
            </w:r>
          </w:p>
        </w:tc>
        <w:tc>
          <w:tcPr>
            <w:tcW w:w="798" w:type="pct"/>
            <w:shd w:val="clear" w:color="auto" w:fill="auto"/>
          </w:tcPr>
          <w:p w14:paraId="71F1EE7B"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0.197</w:t>
            </w:r>
          </w:p>
        </w:tc>
        <w:tc>
          <w:tcPr>
            <w:tcW w:w="798" w:type="pct"/>
            <w:shd w:val="clear" w:color="auto" w:fill="auto"/>
          </w:tcPr>
          <w:p w14:paraId="6956EB2D" w14:textId="77777777" w:rsidR="00A95558" w:rsidRPr="00450FB4" w:rsidRDefault="00D67080" w:rsidP="00A95558">
            <w:pPr>
              <w:widowControl/>
              <w:suppressAutoHyphens/>
              <w:autoSpaceDE/>
              <w:autoSpaceDN/>
              <w:jc w:val="both"/>
              <w:rPr>
                <w:color w:val="000000"/>
                <w:kern w:val="1"/>
                <w:sz w:val="20"/>
                <w:szCs w:val="20"/>
                <w:lang w:eastAsia="ar-SA"/>
              </w:rPr>
            </w:pPr>
            <w:r w:rsidRPr="00450FB4">
              <w:rPr>
                <w:color w:val="000000"/>
                <w:kern w:val="1"/>
                <w:sz w:val="20"/>
                <w:szCs w:val="20"/>
                <w:lang w:eastAsia="ar-SA"/>
              </w:rPr>
              <w:t>0.30</w:t>
            </w:r>
          </w:p>
        </w:tc>
      </w:tr>
    </w:tbl>
    <w:p w14:paraId="158478CB" w14:textId="77777777" w:rsidR="00A95558" w:rsidRPr="00450FB4" w:rsidRDefault="00D67080" w:rsidP="00A9555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color w:val="000000"/>
          <w:kern w:val="1"/>
          <w:sz w:val="20"/>
          <w:szCs w:val="20"/>
          <w:lang w:eastAsia="ar-SA"/>
        </w:rPr>
      </w:pPr>
      <w:r w:rsidRPr="00450FB4">
        <w:rPr>
          <w:color w:val="000000"/>
          <w:kern w:val="1"/>
          <w:sz w:val="20"/>
          <w:szCs w:val="20"/>
          <w:lang w:eastAsia="ar-SA"/>
        </w:rPr>
        <w:t>Signif. codes:  0 ‘***’ 0.001 ‘**’ 0.01 ‘*’ 0.05 ‘.’ 0.1 ‘’ 1; p-values are in square brackets; error terms are in parenthesis brackets.</w:t>
      </w:r>
    </w:p>
    <w:p w14:paraId="161AC6F6" w14:textId="77777777" w:rsidR="00A95558" w:rsidRPr="00450FB4" w:rsidRDefault="00D67080" w:rsidP="00A95558">
      <w:pPr>
        <w:widowControl/>
        <w:numPr>
          <w:ilvl w:val="0"/>
          <w:numId w:val="18"/>
        </w:numPr>
        <w:tabs>
          <w:tab w:val="left" w:pos="284"/>
        </w:tabs>
        <w:suppressAutoHyphens/>
        <w:autoSpaceDE/>
        <w:autoSpaceDN/>
        <w:spacing w:before="240" w:after="160" w:line="480" w:lineRule="auto"/>
        <w:ind w:left="0" w:firstLine="0"/>
        <w:jc w:val="both"/>
        <w:rPr>
          <w:color w:val="000000"/>
          <w:kern w:val="1"/>
          <w:sz w:val="24"/>
          <w:szCs w:val="24"/>
          <w:lang w:eastAsia="ar-SA"/>
        </w:rPr>
      </w:pPr>
      <w:r w:rsidRPr="00450FB4">
        <w:rPr>
          <w:b/>
          <w:bCs/>
          <w:color w:val="000000"/>
          <w:kern w:val="1"/>
          <w:sz w:val="24"/>
          <w:szCs w:val="24"/>
          <w:lang w:eastAsia="ar-SA"/>
        </w:rPr>
        <w:t>Discussion</w:t>
      </w:r>
    </w:p>
    <w:p w14:paraId="1C4F7C39"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This study investigates the enduring effects of the acquisition of fintech firms on the financial performance of Indian acquirers from 2010 to 2023. Using methodologies such as Fixed Effect Panel Regression and Iterative Generalized </w:t>
      </w:r>
      <w:r w:rsidRPr="00450FB4">
        <w:rPr>
          <w:color w:val="000000"/>
          <w:kern w:val="1"/>
          <w:sz w:val="24"/>
          <w:szCs w:val="24"/>
          <w:lang w:eastAsia="ar-SA"/>
        </w:rPr>
        <w:lastRenderedPageBreak/>
        <w:t>Method of Moments (GMM), the research scrutinises key financial metrics: return on assets (ROA), net profit margin (NPM), market-based performance (ASP), liquidity (CR), and financial leverage (FL).</w:t>
      </w:r>
    </w:p>
    <w:p w14:paraId="305D5AAB"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086C224C"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The analysis reveals nuanced outcomes across these metrics. Notably, the acquisition of fintech firms is associated with a significant decrease in return on assets (ROA) by 1.33 (21%), as evidenced by Table 5. </w:t>
      </w:r>
      <w:bookmarkStart w:id="36" w:name="docs-internal-guid-00fa5053-7fff-bc0f-0e"/>
      <w:bookmarkEnd w:id="36"/>
      <w:r w:rsidRPr="00450FB4">
        <w:rPr>
          <w:color w:val="000000"/>
          <w:kern w:val="1"/>
          <w:sz w:val="24"/>
          <w:szCs w:val="24"/>
          <w:lang w:eastAsia="ar-SA"/>
        </w:rPr>
        <w:t xml:space="preserve">The results are in line with earlier studies by Trujillo et al. (2020), Dixit (2019), who noted a decline in ROA for acquiring firms after fintech acquisition. However, on the other hand, Zhang et al (2018) found contrary results. </w:t>
      </w:r>
    </w:p>
    <w:p w14:paraId="376C7EB9"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 </w:t>
      </w:r>
    </w:p>
    <w:p w14:paraId="58465320"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In the Indian context, our study attributes the reduced ROA to the nascent stage of fintech integration within the market.</w:t>
      </w:r>
    </w:p>
    <w:p w14:paraId="1CEFDD40"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3907A5EF"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Regarding net profit margin (NPM), Table 5 indicates a decrease of 1.618 (10%) following fintech acquisitions. Consistent with Nicholson et al. (2016), this decline underscores challenges in post-merger integration and operational synergies. However, differing findings by Grigorieva and Petrunina (2015) suggest the potential for improved margins in alternative contexts.</w:t>
      </w:r>
    </w:p>
    <w:p w14:paraId="757598D0"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3B745F58"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In contrast, market-based performance (ASP) exhibits a robust improvement, with share prices rising significantly post-acquisition, as noted in Tables 4 and 5. The ASP analysis in Table 6 supports these findings, highlighting a positive coefficient for mergers and affirming market optimism toward fintech acquisitions despite short-term volatility observed in event studies (Ding et al., 2021; Carlini et al., 2022).</w:t>
      </w:r>
    </w:p>
    <w:p w14:paraId="7A7A8F80"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4AE02E37"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Liquidity, measured by current ratio (CR), experiences nominal improvements (Table 4), yet the impact of fintech acquisitions on CR is not prominent (Table 6). This suggests that while liquidity metrics remain stable, direct enhancement from fintech integration is limited.</w:t>
      </w:r>
    </w:p>
    <w:p w14:paraId="1559D29E"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31F1BAAF"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Financial leverage (FL) also shows marginal reduction post-acquisition, indicating a shift towards equity over debt financing (Table 4). </w:t>
      </w:r>
      <w:bookmarkStart w:id="37" w:name="docs-internal-guid-9d9411d0-7fff-a47f-06"/>
      <w:bookmarkEnd w:id="37"/>
      <w:r w:rsidRPr="00450FB4">
        <w:rPr>
          <w:color w:val="000000"/>
          <w:kern w:val="1"/>
          <w:sz w:val="24"/>
          <w:szCs w:val="24"/>
          <w:lang w:eastAsia="ar-SA"/>
        </w:rPr>
        <w:t xml:space="preserve">A decline in FL that has been perceived in this research is also in agreement with the perceptions observed in other relevant studies. This has shown the moderated nature of mergers on the leverage ratios as analysed by Kim et al. (2021). </w:t>
      </w:r>
    </w:p>
    <w:p w14:paraId="2193A9C3"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38E45DAE"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In conclusion, this study highlights several key managerial implications as Indian firms deal with fintech acquisitions. Good integration solutions, coherence of the process support, and anticipative management engagement of all the stakeholders </w:t>
      </w:r>
      <w:r w:rsidRPr="00450FB4">
        <w:rPr>
          <w:color w:val="000000"/>
          <w:kern w:val="1"/>
          <w:sz w:val="24"/>
          <w:szCs w:val="24"/>
          <w:lang w:eastAsia="ar-SA"/>
        </w:rPr>
        <w:lastRenderedPageBreak/>
        <w:t xml:space="preserve">are key when it comes to the realisation of synergistic benefits and avoidance of financial performance risks of the mergers. </w:t>
      </w:r>
    </w:p>
    <w:p w14:paraId="2BEAACC3"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64F2726E"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 xml:space="preserve">For this reason, </w:t>
      </w:r>
      <w:r w:rsidR="00240B98" w:rsidRPr="00450FB4">
        <w:rPr>
          <w:color w:val="000000"/>
          <w:kern w:val="1"/>
          <w:sz w:val="24"/>
          <w:szCs w:val="24"/>
          <w:lang w:eastAsia="ar-SA"/>
        </w:rPr>
        <w:t xml:space="preserve">by </w:t>
      </w:r>
      <w:r w:rsidRPr="00450FB4">
        <w:rPr>
          <w:color w:val="000000"/>
          <w:kern w:val="1"/>
          <w:sz w:val="24"/>
          <w:szCs w:val="24"/>
          <w:lang w:eastAsia="ar-SA"/>
        </w:rPr>
        <w:t xml:space="preserve">improving integration processes and matching strategic goals with market perception, the acquiring firms can effectively manage </w:t>
      </w:r>
      <w:r w:rsidR="00240B98" w:rsidRPr="00450FB4">
        <w:rPr>
          <w:color w:val="000000"/>
          <w:kern w:val="1"/>
          <w:sz w:val="24"/>
          <w:szCs w:val="24"/>
          <w:lang w:eastAsia="ar-SA"/>
        </w:rPr>
        <w:t xml:space="preserve">the </w:t>
      </w:r>
      <w:r w:rsidRPr="00450FB4">
        <w:rPr>
          <w:color w:val="000000"/>
          <w:kern w:val="1"/>
          <w:sz w:val="24"/>
          <w:szCs w:val="24"/>
          <w:lang w:eastAsia="ar-SA"/>
        </w:rPr>
        <w:t xml:space="preserve">long-term benefits of fintech acquisitions for enhancing sustainable competitive advantage in the evolving financial landscape. </w:t>
      </w:r>
    </w:p>
    <w:p w14:paraId="441CCBA4" w14:textId="77777777" w:rsidR="00A95558" w:rsidRPr="00450FB4" w:rsidRDefault="00A95558" w:rsidP="00A95558">
      <w:pPr>
        <w:widowControl/>
        <w:tabs>
          <w:tab w:val="left" w:pos="426"/>
        </w:tabs>
        <w:suppressAutoHyphens/>
        <w:autoSpaceDE/>
        <w:autoSpaceDN/>
        <w:jc w:val="both"/>
        <w:rPr>
          <w:color w:val="000000"/>
          <w:kern w:val="1"/>
          <w:sz w:val="24"/>
          <w:szCs w:val="24"/>
          <w:lang w:eastAsia="ar-SA"/>
        </w:rPr>
      </w:pPr>
    </w:p>
    <w:p w14:paraId="1FBD18B7" w14:textId="77777777" w:rsidR="00A95558" w:rsidRPr="00450FB4" w:rsidRDefault="00D67080" w:rsidP="00A95558">
      <w:pPr>
        <w:widowControl/>
        <w:tabs>
          <w:tab w:val="left" w:pos="426"/>
        </w:tabs>
        <w:suppressAutoHyphens/>
        <w:autoSpaceDE/>
        <w:autoSpaceDN/>
        <w:jc w:val="both"/>
        <w:rPr>
          <w:color w:val="000000"/>
          <w:kern w:val="1"/>
          <w:sz w:val="24"/>
          <w:szCs w:val="24"/>
          <w:lang w:eastAsia="ar-SA"/>
        </w:rPr>
      </w:pPr>
      <w:r w:rsidRPr="00450FB4">
        <w:rPr>
          <w:color w:val="000000"/>
          <w:kern w:val="1"/>
          <w:sz w:val="24"/>
          <w:szCs w:val="24"/>
          <w:lang w:eastAsia="ar-SA"/>
        </w:rPr>
        <w:t>This discussion note summarises the research in a nutshell and the conclusion with the message of future effects of fintech acquisition on firms' financial performance in India.</w:t>
      </w:r>
    </w:p>
    <w:p w14:paraId="3469D88F" w14:textId="77777777" w:rsidR="00A95558" w:rsidRPr="00450FB4" w:rsidRDefault="00A95558" w:rsidP="00A95558">
      <w:pPr>
        <w:widowControl/>
        <w:tabs>
          <w:tab w:val="left" w:pos="426"/>
        </w:tabs>
        <w:suppressAutoHyphens/>
        <w:autoSpaceDE/>
        <w:autoSpaceDN/>
        <w:jc w:val="both"/>
        <w:rPr>
          <w:b/>
          <w:bCs/>
          <w:color w:val="000000"/>
          <w:kern w:val="1"/>
          <w:sz w:val="24"/>
          <w:szCs w:val="24"/>
          <w:lang w:eastAsia="ar-SA"/>
        </w:rPr>
      </w:pPr>
    </w:p>
    <w:p w14:paraId="5BA5A2A4" w14:textId="77777777" w:rsidR="00A95558" w:rsidRPr="00450FB4" w:rsidRDefault="00D67080" w:rsidP="00240B98">
      <w:pPr>
        <w:pStyle w:val="ListParagraph"/>
        <w:widowControl/>
        <w:numPr>
          <w:ilvl w:val="0"/>
          <w:numId w:val="18"/>
        </w:numPr>
        <w:tabs>
          <w:tab w:val="left" w:pos="426"/>
        </w:tabs>
        <w:suppressAutoHyphens/>
        <w:autoSpaceDE/>
        <w:autoSpaceDN/>
        <w:rPr>
          <w:b/>
          <w:bCs/>
          <w:color w:val="000000"/>
          <w:kern w:val="1"/>
          <w:sz w:val="24"/>
          <w:szCs w:val="24"/>
          <w:lang w:eastAsia="ar-SA"/>
        </w:rPr>
      </w:pPr>
      <w:r w:rsidRPr="00450FB4">
        <w:rPr>
          <w:b/>
          <w:bCs/>
          <w:color w:val="000000"/>
          <w:kern w:val="1"/>
          <w:sz w:val="24"/>
          <w:szCs w:val="24"/>
          <w:lang w:eastAsia="ar-SA"/>
        </w:rPr>
        <w:t>Conclusion</w:t>
      </w:r>
    </w:p>
    <w:p w14:paraId="7C5D4C5C" w14:textId="77777777" w:rsidR="00240B98" w:rsidRPr="00450FB4" w:rsidRDefault="00240B98" w:rsidP="00240B98">
      <w:pPr>
        <w:pStyle w:val="ListParagraph"/>
        <w:widowControl/>
        <w:tabs>
          <w:tab w:val="left" w:pos="426"/>
        </w:tabs>
        <w:suppressAutoHyphens/>
        <w:autoSpaceDE/>
        <w:autoSpaceDN/>
        <w:ind w:left="720" w:firstLine="0"/>
        <w:rPr>
          <w:b/>
          <w:bCs/>
          <w:color w:val="000000"/>
          <w:kern w:val="1"/>
          <w:sz w:val="24"/>
          <w:szCs w:val="24"/>
          <w:lang w:eastAsia="ar-SA"/>
        </w:rPr>
      </w:pPr>
    </w:p>
    <w:p w14:paraId="22475D02" w14:textId="77777777" w:rsidR="00A95558" w:rsidRPr="00450FB4" w:rsidRDefault="00D67080" w:rsidP="00A95558">
      <w:pPr>
        <w:widowControl/>
        <w:tabs>
          <w:tab w:val="left" w:pos="4026"/>
        </w:tabs>
        <w:suppressAutoHyphens/>
        <w:autoSpaceDE/>
        <w:autoSpaceDN/>
        <w:jc w:val="both"/>
        <w:rPr>
          <w:i/>
          <w:iCs/>
          <w:color w:val="000000"/>
          <w:kern w:val="1"/>
          <w:sz w:val="24"/>
          <w:szCs w:val="24"/>
          <w:lang w:eastAsia="ar-SA"/>
        </w:rPr>
      </w:pPr>
      <w:r w:rsidRPr="00450FB4">
        <w:rPr>
          <w:b/>
          <w:bCs/>
          <w:i/>
          <w:iCs/>
          <w:color w:val="000000"/>
          <w:kern w:val="1"/>
          <w:sz w:val="24"/>
          <w:szCs w:val="24"/>
          <w:lang w:eastAsia="ar-SA"/>
        </w:rPr>
        <w:t>6.1 Long-Term Financial Impacts of Fintech Acquisitions on Indian Firms:</w:t>
      </w:r>
    </w:p>
    <w:p w14:paraId="26C7EBAC" w14:textId="77777777" w:rsidR="00A95558" w:rsidRPr="00450FB4" w:rsidRDefault="00D67080" w:rsidP="00A95558">
      <w:pPr>
        <w:widowControl/>
        <w:tabs>
          <w:tab w:val="left" w:pos="4026"/>
        </w:tabs>
        <w:suppressAutoHyphens/>
        <w:autoSpaceDE/>
        <w:autoSpaceDN/>
        <w:jc w:val="both"/>
        <w:rPr>
          <w:color w:val="000000"/>
          <w:kern w:val="1"/>
          <w:sz w:val="24"/>
          <w:szCs w:val="24"/>
          <w:lang w:eastAsia="ar-SA"/>
        </w:rPr>
      </w:pPr>
      <w:bookmarkStart w:id="38" w:name="docs-internal-guid-c8e5721c-7fff-f47f-5f"/>
      <w:bookmarkEnd w:id="38"/>
      <w:r w:rsidRPr="00450FB4">
        <w:rPr>
          <w:color w:val="000000"/>
          <w:kern w:val="1"/>
          <w:sz w:val="24"/>
          <w:szCs w:val="24"/>
          <w:lang w:eastAsia="ar-SA"/>
        </w:rPr>
        <w:t xml:space="preserve">The present research studies the impact of acquisitions of fintech firms on the long-term financial performance of acquiring firms in India. The analysis is based on 155 samples of acquiring firms taken from the Bloomberg database for the period from 2010 to 2023. The research is based on Fixed Effect Panel Regression and Iterative Generalized Method of Moments (GMM) analyses. Further, the research explores critical performance metrics: return on return on assets (ROA), net profit margin (NPM), market-based performance (ASP), liquidity (CR), and financial leverage (FL). The result indicates that despite the increased activity in fintech acquisitions in India, the operational performance, namely ROA and NPM, of the acquiring firms are affected adversely. The reduction in ROA and NPM is possibly due to integration difficulties and the relatively early development of fintech companies in India. However, there has been a major increase in acquiring ASP, indicating an improvement in market-based performance, possibly due to the notion that investors are becoming more optimistic about the acquirer's performance after the acquisition. Financial freedom is usually the long-term payoff, even though in the short-term, there can be ups and downs. Herein, the liquidity indicators through the current ratio (CR) do not reflect major variations. The financial leverage (FL) ratio shows reductions, indicating improved equity compared to debt. However, an FL of more than 100% indicates a higher debt component compared to equity. Thus, this research highlights the significance of strategy within the context of manufacturing organisations. The research underscores the strategic imperative for meticulous integration planning and proactive stakeholder engagement to maximise synergistic benefits and navigate the complexities of fintech mergers in India's evolving financial landscape. </w:t>
      </w:r>
    </w:p>
    <w:p w14:paraId="5EA8E612" w14:textId="77777777" w:rsidR="00A95558" w:rsidRPr="00450FB4" w:rsidRDefault="00A95558" w:rsidP="00A95558">
      <w:pPr>
        <w:widowControl/>
        <w:tabs>
          <w:tab w:val="left" w:pos="4026"/>
        </w:tabs>
        <w:suppressAutoHyphens/>
        <w:autoSpaceDE/>
        <w:autoSpaceDN/>
        <w:jc w:val="both"/>
        <w:rPr>
          <w:color w:val="000000"/>
          <w:kern w:val="1"/>
          <w:sz w:val="24"/>
          <w:szCs w:val="24"/>
          <w:lang w:eastAsia="ar-SA"/>
        </w:rPr>
      </w:pPr>
    </w:p>
    <w:p w14:paraId="108F3069" w14:textId="77777777" w:rsidR="00A95558" w:rsidRPr="00450FB4" w:rsidRDefault="00D67080" w:rsidP="00A95558">
      <w:pPr>
        <w:widowControl/>
        <w:tabs>
          <w:tab w:val="left" w:pos="4026"/>
        </w:tabs>
        <w:suppressAutoHyphens/>
        <w:autoSpaceDE/>
        <w:autoSpaceDN/>
        <w:jc w:val="both"/>
        <w:rPr>
          <w:bCs/>
          <w:i/>
          <w:iCs/>
          <w:color w:val="000000"/>
          <w:kern w:val="1"/>
          <w:sz w:val="24"/>
          <w:szCs w:val="24"/>
          <w:lang w:eastAsia="ar-SA"/>
        </w:rPr>
      </w:pPr>
      <w:r w:rsidRPr="00450FB4">
        <w:rPr>
          <w:b/>
          <w:bCs/>
          <w:i/>
          <w:iCs/>
          <w:color w:val="000000"/>
          <w:kern w:val="1"/>
          <w:sz w:val="24"/>
          <w:szCs w:val="24"/>
          <w:lang w:eastAsia="ar-SA"/>
        </w:rPr>
        <w:lastRenderedPageBreak/>
        <w:t>6.2 Strategic Insights and Financial Dynamics of Fintech Acquisitions in India: Implications and Contributions:</w:t>
      </w:r>
    </w:p>
    <w:p w14:paraId="6040E6E3" w14:textId="77777777" w:rsidR="00A95558" w:rsidRPr="00450FB4" w:rsidRDefault="00D67080" w:rsidP="00A95558">
      <w:pPr>
        <w:widowControl/>
        <w:tabs>
          <w:tab w:val="left" w:pos="4026"/>
        </w:tabs>
        <w:suppressAutoHyphens/>
        <w:autoSpaceDE/>
        <w:autoSpaceDN/>
        <w:jc w:val="both"/>
        <w:rPr>
          <w:color w:val="000000"/>
          <w:kern w:val="1"/>
          <w:sz w:val="24"/>
          <w:szCs w:val="24"/>
          <w:lang w:eastAsia="ar-SA"/>
        </w:rPr>
      </w:pPr>
      <w:bookmarkStart w:id="39" w:name="docs-internal-guid-fc721817-7fff-88ca-82"/>
      <w:bookmarkEnd w:id="39"/>
      <w:r w:rsidRPr="00450FB4">
        <w:rPr>
          <w:bCs/>
          <w:color w:val="000000"/>
          <w:kern w:val="1"/>
          <w:sz w:val="24"/>
          <w:szCs w:val="24"/>
          <w:lang w:eastAsia="ar-SA"/>
        </w:rPr>
        <w:t>The research highlights the impact of fintech acquisition on the operational performance of Indian acquiring firms through reduced ROA and NPM.  Hence, the study highlights the emphasis on the potential for enhanced profitability through improved NPM despite the challenges in ROA. The findings underscore the importance of strategic integration and operational alignment post-acquisition to realise effective synergy. The findings suggest that strategic aim for coordination is the critical factor that needs to be managed in any project to gain optimal synergies for both companies for integration and operations well after an acquisition. Furthermore, the research contributes to the scientific body by presenting an empirical analysis of the financial relationships on mergers of fintech firms in India to assist the stakeholders in the financial sector for better integration and initiatives, repeatedly stressing the relevance of process adaptation to optimise the use of fintech opportunities &amp; sustainably with changing conditions of the market environment.  The research contributes by providing empirical insights into the financial sector on effective integration strategies and emphasising the need for continuous adoption to leverage fintech capabilities effectively amidst evolving market conditions.</w:t>
      </w:r>
    </w:p>
    <w:p w14:paraId="34E67BE4" w14:textId="77777777" w:rsidR="00A95558" w:rsidRPr="00450FB4" w:rsidRDefault="00A95558" w:rsidP="00A95558">
      <w:pPr>
        <w:widowControl/>
        <w:tabs>
          <w:tab w:val="left" w:pos="4026"/>
        </w:tabs>
        <w:suppressAutoHyphens/>
        <w:autoSpaceDE/>
        <w:autoSpaceDN/>
        <w:jc w:val="both"/>
        <w:rPr>
          <w:color w:val="000000"/>
          <w:kern w:val="1"/>
          <w:sz w:val="24"/>
          <w:szCs w:val="24"/>
          <w:lang w:eastAsia="ar-SA"/>
        </w:rPr>
      </w:pPr>
    </w:p>
    <w:p w14:paraId="092BA31D" w14:textId="77777777" w:rsidR="00A95558" w:rsidRPr="00450FB4" w:rsidRDefault="00D67080" w:rsidP="00A95558">
      <w:pPr>
        <w:widowControl/>
        <w:tabs>
          <w:tab w:val="left" w:pos="4026"/>
        </w:tabs>
        <w:suppressAutoHyphens/>
        <w:autoSpaceDE/>
        <w:autoSpaceDN/>
        <w:jc w:val="both"/>
        <w:rPr>
          <w:b/>
          <w:bCs/>
          <w:i/>
          <w:iCs/>
          <w:color w:val="000000"/>
          <w:kern w:val="1"/>
          <w:sz w:val="24"/>
          <w:szCs w:val="24"/>
          <w:lang w:eastAsia="ar-SA"/>
        </w:rPr>
      </w:pPr>
      <w:r w:rsidRPr="00450FB4">
        <w:rPr>
          <w:b/>
          <w:bCs/>
          <w:i/>
          <w:iCs/>
          <w:color w:val="000000"/>
          <w:kern w:val="1"/>
          <w:sz w:val="24"/>
          <w:szCs w:val="24"/>
          <w:lang w:eastAsia="ar-SA"/>
        </w:rPr>
        <w:t>6.3 Study Limitations and Future Research Directions</w:t>
      </w:r>
    </w:p>
    <w:p w14:paraId="6A1D355F" w14:textId="77777777" w:rsidR="00240B98" w:rsidRPr="00450FB4" w:rsidRDefault="00D67080" w:rsidP="00240B98">
      <w:pPr>
        <w:widowControl/>
        <w:tabs>
          <w:tab w:val="left" w:pos="4026"/>
        </w:tabs>
        <w:suppressAutoHyphens/>
        <w:autoSpaceDE/>
        <w:autoSpaceDN/>
        <w:jc w:val="both"/>
        <w:rPr>
          <w:color w:val="000000"/>
          <w:kern w:val="1"/>
          <w:sz w:val="24"/>
          <w:szCs w:val="24"/>
          <w:lang w:eastAsia="ar-SA"/>
        </w:rPr>
      </w:pPr>
      <w:bookmarkStart w:id="40" w:name="docs-internal-guid-d61443a7-7fff-443d-d0"/>
      <w:bookmarkEnd w:id="40"/>
      <w:r w:rsidRPr="00450FB4">
        <w:rPr>
          <w:color w:val="000000"/>
          <w:kern w:val="1"/>
          <w:sz w:val="24"/>
          <w:szCs w:val="24"/>
          <w:lang w:eastAsia="ar-SA"/>
        </w:rPr>
        <w:t xml:space="preserve">The study has some limitations that must be noted before the results can be generalised. First of all, this study hinges on 155 M&amp;A transactions of Indian corporations, which cannot be generalised. Further, the study reveals only several post-M&amp;A financial impacts; future research should cover other financial and non-financial aspects, such as the impact on employees, managerial abilities, customer service, and borrowers.  </w:t>
      </w:r>
    </w:p>
    <w:p w14:paraId="7D95734C" w14:textId="77777777" w:rsidR="00240B98" w:rsidRPr="00450FB4" w:rsidRDefault="00240B98" w:rsidP="00240B98">
      <w:pPr>
        <w:widowControl/>
        <w:tabs>
          <w:tab w:val="left" w:pos="4026"/>
        </w:tabs>
        <w:suppressAutoHyphens/>
        <w:autoSpaceDE/>
        <w:autoSpaceDN/>
        <w:jc w:val="both"/>
        <w:rPr>
          <w:color w:val="000000"/>
          <w:kern w:val="1"/>
          <w:sz w:val="24"/>
          <w:szCs w:val="24"/>
          <w:lang w:eastAsia="ar-SA"/>
        </w:rPr>
      </w:pPr>
    </w:p>
    <w:p w14:paraId="69751920" w14:textId="77777777" w:rsidR="00A95558" w:rsidRPr="00450FB4" w:rsidRDefault="00D67080" w:rsidP="00240B98">
      <w:pPr>
        <w:widowControl/>
        <w:tabs>
          <w:tab w:val="left" w:pos="4026"/>
        </w:tabs>
        <w:suppressAutoHyphens/>
        <w:autoSpaceDE/>
        <w:autoSpaceDN/>
        <w:jc w:val="both"/>
        <w:rPr>
          <w:b/>
          <w:bCs/>
          <w:color w:val="000000"/>
          <w:kern w:val="1"/>
          <w:lang w:eastAsia="ar-SA"/>
        </w:rPr>
      </w:pPr>
      <w:r w:rsidRPr="00450FB4">
        <w:rPr>
          <w:b/>
          <w:bCs/>
          <w:color w:val="000000"/>
          <w:kern w:val="1"/>
          <w:sz w:val="24"/>
          <w:szCs w:val="24"/>
          <w:lang w:eastAsia="ar-SA"/>
        </w:rPr>
        <w:t>References</w:t>
      </w:r>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7598"/>
        <w:gridCol w:w="102"/>
      </w:tblGrid>
      <w:tr w:rsidR="00161788" w:rsidRPr="00450FB4" w14:paraId="5C460BB3" w14:textId="77777777" w:rsidTr="00CE69A0">
        <w:trPr>
          <w:gridAfter w:val="1"/>
          <w:tblCellSpacing w:w="5" w:type="dxa"/>
        </w:trPr>
        <w:tc>
          <w:tcPr>
            <w:tcW w:w="4943" w:type="pct"/>
            <w:vAlign w:val="center"/>
            <w:hideMark/>
          </w:tcPr>
          <w:p w14:paraId="4C51DDD4" w14:textId="77777777" w:rsidR="00576032" w:rsidRPr="00450FB4" w:rsidRDefault="00D67080" w:rsidP="00CE69A0">
            <w:pPr>
              <w:widowControl/>
              <w:autoSpaceDE/>
              <w:autoSpaceDN/>
              <w:rPr>
                <w:color w:val="000000"/>
                <w:lang w:eastAsia="en-AU"/>
              </w:rPr>
            </w:pPr>
            <w:r w:rsidRPr="00450FB4">
              <w:rPr>
                <w:color w:val="000000"/>
                <w:lang w:eastAsia="en-AU"/>
              </w:rPr>
              <w:t xml:space="preserve">Aggarwal, P., &amp; Garg, S. (2022). Impact of Mergers and Acquisitions on Accounting-based Performance of Acquiring Firms in India. Global Business Review, 23(1), 218-236. </w:t>
            </w:r>
          </w:p>
          <w:p w14:paraId="7BB7FBDB" w14:textId="77777777" w:rsidR="00576032" w:rsidRPr="00450FB4" w:rsidRDefault="00576032" w:rsidP="00CE69A0">
            <w:pPr>
              <w:widowControl/>
              <w:autoSpaceDE/>
              <w:autoSpaceDN/>
              <w:rPr>
                <w:color w:val="000000"/>
                <w:lang w:eastAsia="en-AU"/>
              </w:rPr>
            </w:pPr>
            <w:hyperlink r:id="rId9" w:tgtFrame="_blank" w:history="1">
              <w:r w:rsidRPr="00450FB4">
                <w:rPr>
                  <w:color w:val="0000FF"/>
                  <w:u w:val="single"/>
                  <w:lang w:eastAsia="en-AU"/>
                </w:rPr>
                <w:t>https://doi.org/10.1177/0972150919852009</w:t>
              </w:r>
            </w:hyperlink>
          </w:p>
        </w:tc>
      </w:tr>
      <w:tr w:rsidR="00161788" w:rsidRPr="00450FB4" w14:paraId="3C0360E3" w14:textId="77777777" w:rsidTr="00CE69A0">
        <w:trPr>
          <w:tblCellSpacing w:w="5" w:type="dxa"/>
        </w:trPr>
        <w:tc>
          <w:tcPr>
            <w:tcW w:w="0" w:type="auto"/>
            <w:gridSpan w:val="2"/>
            <w:vAlign w:val="center"/>
            <w:hideMark/>
          </w:tcPr>
          <w:p w14:paraId="063BB7B5"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B36DD3F" w14:textId="77777777" w:rsidTr="00CE69A0">
        <w:trPr>
          <w:tblCellSpacing w:w="5" w:type="dxa"/>
        </w:trPr>
        <w:tc>
          <w:tcPr>
            <w:tcW w:w="4943" w:type="pct"/>
            <w:vAlign w:val="center"/>
            <w:hideMark/>
          </w:tcPr>
          <w:p w14:paraId="68A8BEE7" w14:textId="77777777" w:rsidR="00576032" w:rsidRPr="00450FB4" w:rsidRDefault="00D67080" w:rsidP="00CE69A0">
            <w:pPr>
              <w:widowControl/>
              <w:autoSpaceDE/>
              <w:autoSpaceDN/>
              <w:rPr>
                <w:color w:val="000000"/>
                <w:lang w:eastAsia="en-AU"/>
              </w:rPr>
            </w:pPr>
            <w:r w:rsidRPr="00450FB4">
              <w:rPr>
                <w:color w:val="000000"/>
                <w:lang w:eastAsia="en-AU"/>
              </w:rPr>
              <w:t xml:space="preserve">Alt, R., Beck, R., &amp; Smits, M. T. (2018). FinTech and the transformation of the financial industry. Electronic Markets, 28(3), 235-243. </w:t>
            </w:r>
            <w:hyperlink r:id="rId10" w:tgtFrame="_blank" w:history="1">
              <w:r w:rsidR="00576032" w:rsidRPr="00450FB4">
                <w:rPr>
                  <w:color w:val="0000FF"/>
                  <w:u w:val="single"/>
                  <w:lang w:eastAsia="en-AU"/>
                </w:rPr>
                <w:t>https://doi.org/10.1007/s12525-018-0310-9</w:t>
              </w:r>
            </w:hyperlink>
          </w:p>
        </w:tc>
        <w:tc>
          <w:tcPr>
            <w:tcW w:w="0" w:type="auto"/>
            <w:vAlign w:val="center"/>
            <w:hideMark/>
          </w:tcPr>
          <w:p w14:paraId="2CB086FA" w14:textId="77777777" w:rsidR="00576032" w:rsidRPr="00450FB4" w:rsidRDefault="00576032" w:rsidP="00CE69A0">
            <w:pPr>
              <w:widowControl/>
              <w:autoSpaceDE/>
              <w:autoSpaceDN/>
              <w:rPr>
                <w:lang w:eastAsia="en-AU"/>
              </w:rPr>
            </w:pPr>
          </w:p>
        </w:tc>
      </w:tr>
      <w:tr w:rsidR="00161788" w:rsidRPr="00450FB4" w14:paraId="6C6FC954" w14:textId="77777777" w:rsidTr="00CE69A0">
        <w:trPr>
          <w:tblCellSpacing w:w="5" w:type="dxa"/>
        </w:trPr>
        <w:tc>
          <w:tcPr>
            <w:tcW w:w="0" w:type="auto"/>
            <w:gridSpan w:val="2"/>
            <w:vAlign w:val="center"/>
            <w:hideMark/>
          </w:tcPr>
          <w:p w14:paraId="52D264BF"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5B4E45A4" w14:textId="77777777" w:rsidTr="00CE69A0">
        <w:trPr>
          <w:tblCellSpacing w:w="5" w:type="dxa"/>
        </w:trPr>
        <w:tc>
          <w:tcPr>
            <w:tcW w:w="4943" w:type="pct"/>
            <w:vAlign w:val="center"/>
            <w:hideMark/>
          </w:tcPr>
          <w:p w14:paraId="178B8278" w14:textId="77777777" w:rsidR="00576032" w:rsidRPr="00450FB4" w:rsidRDefault="00D67080" w:rsidP="00CE69A0">
            <w:pPr>
              <w:widowControl/>
              <w:autoSpaceDE/>
              <w:autoSpaceDN/>
              <w:rPr>
                <w:color w:val="000000"/>
                <w:lang w:eastAsia="en-AU"/>
              </w:rPr>
            </w:pPr>
            <w:r w:rsidRPr="00450FB4">
              <w:rPr>
                <w:color w:val="000000"/>
                <w:lang w:eastAsia="en-AU"/>
              </w:rPr>
              <w:t xml:space="preserve">Andrikopoulos, A., &amp; Kriklani, N. (2013). Environmental Disclosure and Financial Characteristics of the Firm: The Case of Denmark. Corporate Social Responsibility and Environmental Management, 20(1), 55-64. </w:t>
            </w:r>
          </w:p>
          <w:p w14:paraId="5E18FF3F" w14:textId="77777777" w:rsidR="00576032" w:rsidRPr="00450FB4" w:rsidRDefault="00576032" w:rsidP="00CE69A0">
            <w:pPr>
              <w:widowControl/>
              <w:autoSpaceDE/>
              <w:autoSpaceDN/>
              <w:rPr>
                <w:color w:val="000000"/>
                <w:lang w:eastAsia="en-AU"/>
              </w:rPr>
            </w:pPr>
            <w:hyperlink r:id="rId11" w:tgtFrame="_blank" w:history="1">
              <w:r w:rsidRPr="00450FB4">
                <w:rPr>
                  <w:color w:val="0000FF"/>
                  <w:u w:val="single"/>
                  <w:lang w:eastAsia="en-AU"/>
                </w:rPr>
                <w:t>https://doi.org/10.1002/csr.1281</w:t>
              </w:r>
            </w:hyperlink>
          </w:p>
        </w:tc>
        <w:tc>
          <w:tcPr>
            <w:tcW w:w="0" w:type="auto"/>
            <w:vAlign w:val="center"/>
            <w:hideMark/>
          </w:tcPr>
          <w:p w14:paraId="000502EF" w14:textId="77777777" w:rsidR="00576032" w:rsidRPr="00450FB4" w:rsidRDefault="00576032" w:rsidP="00CE69A0">
            <w:pPr>
              <w:widowControl/>
              <w:autoSpaceDE/>
              <w:autoSpaceDN/>
              <w:rPr>
                <w:lang w:eastAsia="en-AU"/>
              </w:rPr>
            </w:pPr>
          </w:p>
        </w:tc>
      </w:tr>
      <w:tr w:rsidR="00161788" w:rsidRPr="00450FB4" w14:paraId="7DA9E779" w14:textId="77777777" w:rsidTr="00CE69A0">
        <w:trPr>
          <w:tblCellSpacing w:w="5" w:type="dxa"/>
        </w:trPr>
        <w:tc>
          <w:tcPr>
            <w:tcW w:w="0" w:type="auto"/>
            <w:gridSpan w:val="2"/>
            <w:vAlign w:val="center"/>
            <w:hideMark/>
          </w:tcPr>
          <w:p w14:paraId="64D294F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98D29EE" w14:textId="77777777" w:rsidTr="00CE69A0">
        <w:trPr>
          <w:tblCellSpacing w:w="5" w:type="dxa"/>
        </w:trPr>
        <w:tc>
          <w:tcPr>
            <w:tcW w:w="4943" w:type="pct"/>
            <w:vAlign w:val="center"/>
            <w:hideMark/>
          </w:tcPr>
          <w:p w14:paraId="7A22170C" w14:textId="77777777" w:rsidR="00576032" w:rsidRPr="00450FB4" w:rsidRDefault="00D67080" w:rsidP="00CE69A0">
            <w:pPr>
              <w:widowControl/>
              <w:autoSpaceDE/>
              <w:autoSpaceDN/>
              <w:rPr>
                <w:color w:val="000000"/>
                <w:lang w:eastAsia="en-AU"/>
              </w:rPr>
            </w:pPr>
            <w:r w:rsidRPr="00450FB4">
              <w:rPr>
                <w:color w:val="000000"/>
                <w:lang w:eastAsia="en-AU"/>
              </w:rPr>
              <w:t xml:space="preserve">Ang, J. S., &amp; Cheng, Y. (2006). DIRECT EVIDENCE ON THE MARKET-DRIVEN ACQUISITION THEORY. Journal of Financial Research, 29(2), 199-216. </w:t>
            </w:r>
          </w:p>
          <w:p w14:paraId="08DB1E93" w14:textId="77777777" w:rsidR="00576032" w:rsidRPr="00450FB4" w:rsidRDefault="00576032" w:rsidP="00CE69A0">
            <w:pPr>
              <w:widowControl/>
              <w:autoSpaceDE/>
              <w:autoSpaceDN/>
              <w:rPr>
                <w:color w:val="000000"/>
                <w:lang w:eastAsia="en-AU"/>
              </w:rPr>
            </w:pPr>
            <w:hyperlink r:id="rId12" w:tgtFrame="_blank" w:history="1">
              <w:r w:rsidRPr="00450FB4">
                <w:rPr>
                  <w:color w:val="0000FF"/>
                  <w:u w:val="single"/>
                  <w:lang w:eastAsia="en-AU"/>
                </w:rPr>
                <w:t>https://doi.org/10.1111/j.1475-6803.2006.00174.x</w:t>
              </w:r>
            </w:hyperlink>
          </w:p>
        </w:tc>
        <w:tc>
          <w:tcPr>
            <w:tcW w:w="0" w:type="auto"/>
            <w:vAlign w:val="center"/>
            <w:hideMark/>
          </w:tcPr>
          <w:p w14:paraId="5930A094" w14:textId="77777777" w:rsidR="00576032" w:rsidRPr="00450FB4" w:rsidRDefault="00576032" w:rsidP="00CE69A0">
            <w:pPr>
              <w:widowControl/>
              <w:autoSpaceDE/>
              <w:autoSpaceDN/>
              <w:rPr>
                <w:lang w:eastAsia="en-AU"/>
              </w:rPr>
            </w:pPr>
          </w:p>
        </w:tc>
      </w:tr>
      <w:tr w:rsidR="00161788" w:rsidRPr="00450FB4" w14:paraId="2A11E72F" w14:textId="77777777" w:rsidTr="00CE69A0">
        <w:trPr>
          <w:tblCellSpacing w:w="5" w:type="dxa"/>
        </w:trPr>
        <w:tc>
          <w:tcPr>
            <w:tcW w:w="0" w:type="auto"/>
            <w:gridSpan w:val="2"/>
            <w:vAlign w:val="center"/>
            <w:hideMark/>
          </w:tcPr>
          <w:p w14:paraId="778E52F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9D41B3E" w14:textId="77777777" w:rsidTr="00CE69A0">
        <w:trPr>
          <w:tblCellSpacing w:w="5" w:type="dxa"/>
        </w:trPr>
        <w:tc>
          <w:tcPr>
            <w:tcW w:w="4943" w:type="pct"/>
            <w:vAlign w:val="center"/>
            <w:hideMark/>
          </w:tcPr>
          <w:p w14:paraId="0BDECFEB" w14:textId="77777777" w:rsidR="00576032" w:rsidRPr="00450FB4" w:rsidRDefault="00D67080" w:rsidP="00CE69A0">
            <w:pPr>
              <w:widowControl/>
              <w:autoSpaceDE/>
              <w:autoSpaceDN/>
              <w:rPr>
                <w:color w:val="000000"/>
                <w:lang w:eastAsia="en-AU"/>
              </w:rPr>
            </w:pPr>
            <w:r w:rsidRPr="00450FB4">
              <w:rPr>
                <w:color w:val="000000"/>
                <w:lang w:eastAsia="en-AU"/>
              </w:rPr>
              <w:t>Arora, S., &amp; Madan, P. P. (2021). Fintech : Really a buzzword, at Embryonic Stage or a burgeoning Industry ? with special reference to India. Journal of University of Shanghai for Science and Technology, 23(7), 1174-1190.</w:t>
            </w:r>
          </w:p>
          <w:p w14:paraId="7DDB15AD" w14:textId="77777777" w:rsidR="00576032" w:rsidRPr="00450FB4" w:rsidRDefault="00576032" w:rsidP="00CE69A0">
            <w:pPr>
              <w:widowControl/>
              <w:autoSpaceDE/>
              <w:autoSpaceDN/>
              <w:rPr>
                <w:color w:val="000000"/>
                <w:lang w:eastAsia="en-AU"/>
              </w:rPr>
            </w:pPr>
            <w:hyperlink r:id="rId13" w:tgtFrame="_blank" w:history="1">
              <w:r w:rsidRPr="00450FB4">
                <w:rPr>
                  <w:color w:val="0000FF"/>
                  <w:u w:val="single"/>
                  <w:lang w:eastAsia="en-AU"/>
                </w:rPr>
                <w:t>https://doi.org/10.51201/JUSST/21/07280</w:t>
              </w:r>
            </w:hyperlink>
          </w:p>
        </w:tc>
        <w:tc>
          <w:tcPr>
            <w:tcW w:w="0" w:type="auto"/>
            <w:vAlign w:val="center"/>
            <w:hideMark/>
          </w:tcPr>
          <w:p w14:paraId="58DB8D99" w14:textId="77777777" w:rsidR="00576032" w:rsidRPr="00450FB4" w:rsidRDefault="00576032" w:rsidP="00CE69A0">
            <w:pPr>
              <w:widowControl/>
              <w:autoSpaceDE/>
              <w:autoSpaceDN/>
              <w:rPr>
                <w:lang w:eastAsia="en-AU"/>
              </w:rPr>
            </w:pPr>
          </w:p>
        </w:tc>
      </w:tr>
      <w:tr w:rsidR="00161788" w:rsidRPr="00450FB4" w14:paraId="24A4B288" w14:textId="77777777" w:rsidTr="00CE69A0">
        <w:trPr>
          <w:tblCellSpacing w:w="5" w:type="dxa"/>
        </w:trPr>
        <w:tc>
          <w:tcPr>
            <w:tcW w:w="0" w:type="auto"/>
            <w:gridSpan w:val="2"/>
            <w:vAlign w:val="center"/>
            <w:hideMark/>
          </w:tcPr>
          <w:p w14:paraId="5926129B"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8FF8A17" w14:textId="77777777" w:rsidTr="00CE69A0">
        <w:trPr>
          <w:tblCellSpacing w:w="5" w:type="dxa"/>
        </w:trPr>
        <w:tc>
          <w:tcPr>
            <w:tcW w:w="4943" w:type="pct"/>
            <w:vAlign w:val="center"/>
            <w:hideMark/>
          </w:tcPr>
          <w:p w14:paraId="5D61C64C" w14:textId="77777777" w:rsidR="00576032" w:rsidRPr="00450FB4" w:rsidRDefault="00D67080" w:rsidP="00CE69A0">
            <w:pPr>
              <w:widowControl/>
              <w:autoSpaceDE/>
              <w:autoSpaceDN/>
              <w:rPr>
                <w:color w:val="000000"/>
                <w:lang w:eastAsia="en-AU"/>
              </w:rPr>
            </w:pPr>
            <w:r w:rsidRPr="00450FB4">
              <w:rPr>
                <w:color w:val="000000"/>
                <w:lang w:eastAsia="en-AU"/>
              </w:rPr>
              <w:t xml:space="preserve">Austin, R. E., &amp; Dunham, L. M. (2022). Do FinTech acquisitions improve the operating performance or risk profiles of acquiring firms? Journal of Economics and Business, 121, 106078. </w:t>
            </w:r>
          </w:p>
          <w:p w14:paraId="0B0148F9" w14:textId="77777777" w:rsidR="00576032" w:rsidRPr="00450FB4" w:rsidRDefault="00576032" w:rsidP="00CE69A0">
            <w:pPr>
              <w:widowControl/>
              <w:autoSpaceDE/>
              <w:autoSpaceDN/>
              <w:rPr>
                <w:color w:val="000000"/>
                <w:lang w:eastAsia="en-AU"/>
              </w:rPr>
            </w:pPr>
            <w:hyperlink r:id="rId14" w:tgtFrame="_blank" w:history="1">
              <w:r w:rsidRPr="00450FB4">
                <w:rPr>
                  <w:color w:val="0000FF"/>
                  <w:u w:val="single"/>
                  <w:lang w:eastAsia="en-AU"/>
                </w:rPr>
                <w:t>https://doi.org/10.1016/j.jeconbus.2022.106078</w:t>
              </w:r>
            </w:hyperlink>
          </w:p>
        </w:tc>
        <w:tc>
          <w:tcPr>
            <w:tcW w:w="0" w:type="auto"/>
            <w:vAlign w:val="center"/>
            <w:hideMark/>
          </w:tcPr>
          <w:p w14:paraId="4B59397F" w14:textId="77777777" w:rsidR="00576032" w:rsidRPr="00450FB4" w:rsidRDefault="00576032" w:rsidP="00CE69A0">
            <w:pPr>
              <w:widowControl/>
              <w:autoSpaceDE/>
              <w:autoSpaceDN/>
              <w:rPr>
                <w:lang w:eastAsia="en-AU"/>
              </w:rPr>
            </w:pPr>
          </w:p>
        </w:tc>
      </w:tr>
      <w:tr w:rsidR="00161788" w:rsidRPr="00450FB4" w14:paraId="382F83F8" w14:textId="77777777" w:rsidTr="00CE69A0">
        <w:trPr>
          <w:tblCellSpacing w:w="5" w:type="dxa"/>
        </w:trPr>
        <w:tc>
          <w:tcPr>
            <w:tcW w:w="0" w:type="auto"/>
            <w:gridSpan w:val="2"/>
            <w:vAlign w:val="center"/>
            <w:hideMark/>
          </w:tcPr>
          <w:p w14:paraId="3E615CBD"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5D64CC17" w14:textId="77777777" w:rsidTr="00CE69A0">
        <w:trPr>
          <w:tblCellSpacing w:w="5" w:type="dxa"/>
        </w:trPr>
        <w:tc>
          <w:tcPr>
            <w:tcW w:w="4943" w:type="pct"/>
            <w:vAlign w:val="center"/>
            <w:hideMark/>
          </w:tcPr>
          <w:p w14:paraId="11E69B9C" w14:textId="77777777" w:rsidR="00576032" w:rsidRPr="00450FB4" w:rsidRDefault="00D67080" w:rsidP="00CE69A0">
            <w:pPr>
              <w:widowControl/>
              <w:autoSpaceDE/>
              <w:autoSpaceDN/>
              <w:rPr>
                <w:color w:val="000000"/>
                <w:lang w:eastAsia="en-AU"/>
              </w:rPr>
            </w:pPr>
            <w:r w:rsidRPr="00450FB4">
              <w:rPr>
                <w:color w:val="000000"/>
                <w:lang w:eastAsia="en-AU"/>
              </w:rPr>
              <w:t>Barney, J. B. (1991). The resource based view of strategy: Origins, implications, and prospects. Journal of Management, 17(1), 97-211.</w:t>
            </w:r>
          </w:p>
          <w:p w14:paraId="56EC7355" w14:textId="77777777" w:rsidR="00576032" w:rsidRPr="00450FB4" w:rsidRDefault="00576032" w:rsidP="00CE69A0">
            <w:pPr>
              <w:widowControl/>
              <w:autoSpaceDE/>
              <w:autoSpaceDN/>
              <w:rPr>
                <w:color w:val="000000"/>
                <w:lang w:eastAsia="en-AU"/>
              </w:rPr>
            </w:pPr>
            <w:hyperlink r:id="rId15" w:tgtFrame="_blank" w:history="1">
              <w:r w:rsidRPr="00450FB4">
                <w:rPr>
                  <w:color w:val="0000FF"/>
                  <w:u w:val="single"/>
                  <w:lang w:eastAsia="en-AU"/>
                </w:rPr>
                <w:t>https://doi.org/10.1177/014920639101700107</w:t>
              </w:r>
            </w:hyperlink>
          </w:p>
        </w:tc>
        <w:tc>
          <w:tcPr>
            <w:tcW w:w="0" w:type="auto"/>
            <w:vAlign w:val="center"/>
            <w:hideMark/>
          </w:tcPr>
          <w:p w14:paraId="48115E8B" w14:textId="77777777" w:rsidR="00576032" w:rsidRPr="00450FB4" w:rsidRDefault="00576032" w:rsidP="00CE69A0">
            <w:pPr>
              <w:widowControl/>
              <w:autoSpaceDE/>
              <w:autoSpaceDN/>
              <w:rPr>
                <w:lang w:eastAsia="en-AU"/>
              </w:rPr>
            </w:pPr>
          </w:p>
        </w:tc>
      </w:tr>
      <w:tr w:rsidR="00161788" w:rsidRPr="00450FB4" w14:paraId="52AB426C" w14:textId="77777777" w:rsidTr="00CE69A0">
        <w:trPr>
          <w:tblCellSpacing w:w="5" w:type="dxa"/>
        </w:trPr>
        <w:tc>
          <w:tcPr>
            <w:tcW w:w="0" w:type="auto"/>
            <w:gridSpan w:val="2"/>
            <w:vAlign w:val="center"/>
            <w:hideMark/>
          </w:tcPr>
          <w:p w14:paraId="7EF68723"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04163DC" w14:textId="77777777" w:rsidTr="00CE69A0">
        <w:trPr>
          <w:tblCellSpacing w:w="5" w:type="dxa"/>
        </w:trPr>
        <w:tc>
          <w:tcPr>
            <w:tcW w:w="4943" w:type="pct"/>
            <w:vAlign w:val="center"/>
            <w:hideMark/>
          </w:tcPr>
          <w:p w14:paraId="0F201B0E" w14:textId="77777777" w:rsidR="00576032" w:rsidRPr="00450FB4" w:rsidRDefault="00D67080" w:rsidP="00CE69A0">
            <w:pPr>
              <w:widowControl/>
              <w:autoSpaceDE/>
              <w:autoSpaceDN/>
              <w:rPr>
                <w:color w:val="000000"/>
                <w:lang w:eastAsia="en-AU"/>
              </w:rPr>
            </w:pPr>
            <w:r w:rsidRPr="00450FB4">
              <w:rPr>
                <w:color w:val="000000"/>
                <w:lang w:eastAsia="en-AU"/>
              </w:rPr>
              <w:t xml:space="preserve">Basu, D., &amp; Chawla, D. (2010). An Empirical Test of CAPM-The Case of Indian Stock Market. Global Business Review, 11(2), 209-220. </w:t>
            </w:r>
          </w:p>
          <w:p w14:paraId="5DBA9830" w14:textId="77777777" w:rsidR="00576032" w:rsidRPr="00450FB4" w:rsidRDefault="00576032" w:rsidP="00CE69A0">
            <w:pPr>
              <w:widowControl/>
              <w:autoSpaceDE/>
              <w:autoSpaceDN/>
              <w:rPr>
                <w:color w:val="000000"/>
                <w:lang w:eastAsia="en-AU"/>
              </w:rPr>
            </w:pPr>
            <w:hyperlink r:id="rId16" w:tgtFrame="_blank" w:history="1">
              <w:r w:rsidRPr="00450FB4">
                <w:rPr>
                  <w:color w:val="0000FF"/>
                  <w:u w:val="single"/>
                  <w:lang w:eastAsia="en-AU"/>
                </w:rPr>
                <w:t>https://doi.org/10.1177/097215091001100206</w:t>
              </w:r>
            </w:hyperlink>
          </w:p>
        </w:tc>
        <w:tc>
          <w:tcPr>
            <w:tcW w:w="0" w:type="auto"/>
            <w:vAlign w:val="center"/>
            <w:hideMark/>
          </w:tcPr>
          <w:p w14:paraId="5A6D5ACD" w14:textId="77777777" w:rsidR="00576032" w:rsidRPr="00450FB4" w:rsidRDefault="00576032" w:rsidP="00CE69A0">
            <w:pPr>
              <w:widowControl/>
              <w:autoSpaceDE/>
              <w:autoSpaceDN/>
              <w:rPr>
                <w:lang w:eastAsia="en-AU"/>
              </w:rPr>
            </w:pPr>
          </w:p>
        </w:tc>
      </w:tr>
      <w:tr w:rsidR="00161788" w:rsidRPr="00450FB4" w14:paraId="49FE63A8" w14:textId="77777777" w:rsidTr="00CE69A0">
        <w:trPr>
          <w:tblCellSpacing w:w="5" w:type="dxa"/>
        </w:trPr>
        <w:tc>
          <w:tcPr>
            <w:tcW w:w="0" w:type="auto"/>
            <w:gridSpan w:val="2"/>
            <w:vAlign w:val="center"/>
            <w:hideMark/>
          </w:tcPr>
          <w:p w14:paraId="57A0AC49"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063B516" w14:textId="77777777" w:rsidTr="00CE69A0">
        <w:trPr>
          <w:tblCellSpacing w:w="5" w:type="dxa"/>
        </w:trPr>
        <w:tc>
          <w:tcPr>
            <w:tcW w:w="4943" w:type="pct"/>
            <w:vAlign w:val="center"/>
            <w:hideMark/>
          </w:tcPr>
          <w:p w14:paraId="3F41F687" w14:textId="77777777" w:rsidR="00576032" w:rsidRPr="00450FB4" w:rsidRDefault="00D67080" w:rsidP="00CE69A0">
            <w:pPr>
              <w:widowControl/>
              <w:autoSpaceDE/>
              <w:autoSpaceDN/>
              <w:rPr>
                <w:color w:val="000000"/>
                <w:lang w:eastAsia="en-AU"/>
              </w:rPr>
            </w:pPr>
            <w:r w:rsidRPr="00450FB4">
              <w:rPr>
                <w:color w:val="000000"/>
                <w:lang w:eastAsia="en-AU"/>
              </w:rPr>
              <w:t xml:space="preserve">Bianconi, M., &amp; Tan, C. M. (2019). Evaluating the instantaneous and medium-run impact of mergers and acquisitions on firm values. International Review of Economics &amp; Finance, 59, 71-87. </w:t>
            </w:r>
          </w:p>
          <w:p w14:paraId="609B725B" w14:textId="77777777" w:rsidR="00576032" w:rsidRPr="00450FB4" w:rsidRDefault="00576032" w:rsidP="00CE69A0">
            <w:pPr>
              <w:widowControl/>
              <w:autoSpaceDE/>
              <w:autoSpaceDN/>
              <w:rPr>
                <w:color w:val="000000"/>
                <w:lang w:eastAsia="en-AU"/>
              </w:rPr>
            </w:pPr>
            <w:hyperlink r:id="rId17" w:tgtFrame="_blank" w:history="1">
              <w:r w:rsidRPr="00450FB4">
                <w:rPr>
                  <w:color w:val="0000FF"/>
                  <w:u w:val="single"/>
                  <w:lang w:eastAsia="en-AU"/>
                </w:rPr>
                <w:t>https://doi.org/10.1016/j.iref.2018.08.005</w:t>
              </w:r>
            </w:hyperlink>
          </w:p>
        </w:tc>
        <w:tc>
          <w:tcPr>
            <w:tcW w:w="0" w:type="auto"/>
            <w:vAlign w:val="center"/>
            <w:hideMark/>
          </w:tcPr>
          <w:p w14:paraId="467EFAAE" w14:textId="77777777" w:rsidR="00576032" w:rsidRPr="00450FB4" w:rsidRDefault="00576032" w:rsidP="00CE69A0">
            <w:pPr>
              <w:widowControl/>
              <w:autoSpaceDE/>
              <w:autoSpaceDN/>
              <w:rPr>
                <w:lang w:eastAsia="en-AU"/>
              </w:rPr>
            </w:pPr>
          </w:p>
        </w:tc>
      </w:tr>
      <w:tr w:rsidR="00161788" w:rsidRPr="00450FB4" w14:paraId="5950239F" w14:textId="77777777" w:rsidTr="00CE69A0">
        <w:trPr>
          <w:tblCellSpacing w:w="5" w:type="dxa"/>
        </w:trPr>
        <w:tc>
          <w:tcPr>
            <w:tcW w:w="0" w:type="auto"/>
            <w:gridSpan w:val="2"/>
            <w:vAlign w:val="center"/>
            <w:hideMark/>
          </w:tcPr>
          <w:p w14:paraId="5C26D89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CCA2BB6" w14:textId="77777777" w:rsidTr="00CE69A0">
        <w:trPr>
          <w:tblCellSpacing w:w="5" w:type="dxa"/>
        </w:trPr>
        <w:tc>
          <w:tcPr>
            <w:tcW w:w="4943" w:type="pct"/>
            <w:vAlign w:val="center"/>
            <w:hideMark/>
          </w:tcPr>
          <w:p w14:paraId="727373E2" w14:textId="77777777" w:rsidR="00576032" w:rsidRPr="00450FB4" w:rsidRDefault="00D67080" w:rsidP="00CE69A0">
            <w:pPr>
              <w:widowControl/>
              <w:autoSpaceDE/>
              <w:autoSpaceDN/>
              <w:rPr>
                <w:color w:val="000000"/>
                <w:lang w:eastAsia="en-AU"/>
              </w:rPr>
            </w:pPr>
            <w:r w:rsidRPr="00450FB4">
              <w:rPr>
                <w:color w:val="000000"/>
                <w:lang w:eastAsia="en-AU"/>
              </w:rPr>
              <w:t xml:space="preserve">Bradley, M., Desai, A., &amp; Kim, E. H. (1983). The rationale behind interfirm tender offers. Journal of Financial Economics, 11(1-4), 183-206. </w:t>
            </w:r>
          </w:p>
          <w:p w14:paraId="52319F3C" w14:textId="77777777" w:rsidR="00576032" w:rsidRPr="00450FB4" w:rsidRDefault="00576032" w:rsidP="00CE69A0">
            <w:pPr>
              <w:widowControl/>
              <w:autoSpaceDE/>
              <w:autoSpaceDN/>
              <w:rPr>
                <w:color w:val="000000"/>
                <w:lang w:eastAsia="en-AU"/>
              </w:rPr>
            </w:pPr>
            <w:hyperlink r:id="rId18" w:tgtFrame="_blank" w:history="1">
              <w:r w:rsidRPr="00450FB4">
                <w:rPr>
                  <w:color w:val="0000FF"/>
                  <w:u w:val="single"/>
                  <w:lang w:eastAsia="en-AU"/>
                </w:rPr>
                <w:t>https://doi.org/10.1016/0304-405X(83)90010-7</w:t>
              </w:r>
            </w:hyperlink>
          </w:p>
        </w:tc>
        <w:tc>
          <w:tcPr>
            <w:tcW w:w="0" w:type="auto"/>
            <w:vAlign w:val="center"/>
            <w:hideMark/>
          </w:tcPr>
          <w:p w14:paraId="54B69DA2" w14:textId="77777777" w:rsidR="00576032" w:rsidRPr="00450FB4" w:rsidRDefault="00576032" w:rsidP="00CE69A0">
            <w:pPr>
              <w:widowControl/>
              <w:autoSpaceDE/>
              <w:autoSpaceDN/>
              <w:rPr>
                <w:lang w:eastAsia="en-AU"/>
              </w:rPr>
            </w:pPr>
          </w:p>
        </w:tc>
      </w:tr>
      <w:tr w:rsidR="00161788" w:rsidRPr="00450FB4" w14:paraId="42D320F8" w14:textId="77777777" w:rsidTr="00CE69A0">
        <w:trPr>
          <w:tblCellSpacing w:w="5" w:type="dxa"/>
        </w:trPr>
        <w:tc>
          <w:tcPr>
            <w:tcW w:w="0" w:type="auto"/>
            <w:gridSpan w:val="2"/>
            <w:vAlign w:val="center"/>
            <w:hideMark/>
          </w:tcPr>
          <w:p w14:paraId="72FBD97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4918F1F" w14:textId="77777777" w:rsidTr="00CE69A0">
        <w:trPr>
          <w:tblCellSpacing w:w="5" w:type="dxa"/>
        </w:trPr>
        <w:tc>
          <w:tcPr>
            <w:tcW w:w="4943" w:type="pct"/>
            <w:vAlign w:val="center"/>
            <w:hideMark/>
          </w:tcPr>
          <w:p w14:paraId="38A4A97A" w14:textId="77777777" w:rsidR="00576032" w:rsidRPr="00450FB4" w:rsidRDefault="00D67080" w:rsidP="00CE69A0">
            <w:pPr>
              <w:widowControl/>
              <w:autoSpaceDE/>
              <w:autoSpaceDN/>
              <w:rPr>
                <w:color w:val="000000"/>
                <w:lang w:eastAsia="en-AU"/>
              </w:rPr>
            </w:pPr>
            <w:r w:rsidRPr="00450FB4">
              <w:rPr>
                <w:color w:val="000000"/>
                <w:lang w:eastAsia="en-AU"/>
              </w:rPr>
              <w:t xml:space="preserve">Chemmanur, T. J., Imerman, M. B., Rajaiya, H., &amp; Yu, Q. (2020). Recent Developments in the Fintech Industry. Journal of Financial Management, Markets and Institutions, 08(01), 2040002. </w:t>
            </w:r>
          </w:p>
          <w:p w14:paraId="20068FEE" w14:textId="77777777" w:rsidR="00576032" w:rsidRPr="00450FB4" w:rsidRDefault="00576032" w:rsidP="00CE69A0">
            <w:pPr>
              <w:widowControl/>
              <w:autoSpaceDE/>
              <w:autoSpaceDN/>
              <w:rPr>
                <w:color w:val="000000"/>
                <w:lang w:eastAsia="en-AU"/>
              </w:rPr>
            </w:pPr>
            <w:hyperlink r:id="rId19" w:tgtFrame="_blank" w:history="1">
              <w:r w:rsidRPr="00450FB4">
                <w:rPr>
                  <w:color w:val="0000FF"/>
                  <w:u w:val="single"/>
                  <w:lang w:eastAsia="en-AU"/>
                </w:rPr>
                <w:t>https://doi.org/10.1142/S2282717X20400022</w:t>
              </w:r>
            </w:hyperlink>
          </w:p>
          <w:p w14:paraId="36CC5270" w14:textId="77777777" w:rsidR="00576032" w:rsidRPr="00450FB4" w:rsidRDefault="00576032" w:rsidP="00CE69A0">
            <w:pPr>
              <w:widowControl/>
              <w:autoSpaceDE/>
              <w:autoSpaceDN/>
              <w:rPr>
                <w:color w:val="000000"/>
                <w:lang w:eastAsia="en-AU"/>
              </w:rPr>
            </w:pPr>
          </w:p>
        </w:tc>
        <w:tc>
          <w:tcPr>
            <w:tcW w:w="0" w:type="auto"/>
            <w:vAlign w:val="center"/>
            <w:hideMark/>
          </w:tcPr>
          <w:p w14:paraId="57835646" w14:textId="77777777" w:rsidR="00576032" w:rsidRPr="00450FB4" w:rsidRDefault="00576032" w:rsidP="00CE69A0">
            <w:pPr>
              <w:widowControl/>
              <w:autoSpaceDE/>
              <w:autoSpaceDN/>
              <w:rPr>
                <w:lang w:eastAsia="en-AU"/>
              </w:rPr>
            </w:pPr>
          </w:p>
        </w:tc>
      </w:tr>
      <w:tr w:rsidR="00161788" w:rsidRPr="00450FB4" w14:paraId="71D8F2C5" w14:textId="77777777" w:rsidTr="00CE69A0">
        <w:trPr>
          <w:tblCellSpacing w:w="5" w:type="dxa"/>
        </w:trPr>
        <w:tc>
          <w:tcPr>
            <w:tcW w:w="4943" w:type="pct"/>
            <w:vAlign w:val="center"/>
            <w:hideMark/>
          </w:tcPr>
          <w:p w14:paraId="3F2C9458" w14:textId="77777777" w:rsidR="00576032" w:rsidRPr="00450FB4" w:rsidRDefault="00D67080" w:rsidP="00CE69A0">
            <w:pPr>
              <w:widowControl/>
              <w:autoSpaceDE/>
              <w:autoSpaceDN/>
              <w:rPr>
                <w:color w:val="000000"/>
                <w:lang w:eastAsia="en-AU"/>
              </w:rPr>
            </w:pPr>
            <w:r w:rsidRPr="00450FB4">
              <w:rPr>
                <w:color w:val="000000"/>
                <w:lang w:eastAsia="en-AU"/>
              </w:rPr>
              <w:t>Chen, X., You, X., &amp; Chang, V. (2021). FinTech and commercial banks' performance in China: A leap forward or survival of the fittest? Technological Forecasting and Social Change, 166, 120645.</w:t>
            </w:r>
          </w:p>
          <w:p w14:paraId="2C43C604" w14:textId="77777777" w:rsidR="00576032" w:rsidRPr="00450FB4" w:rsidRDefault="00576032" w:rsidP="00CE69A0">
            <w:pPr>
              <w:widowControl/>
              <w:autoSpaceDE/>
              <w:autoSpaceDN/>
              <w:rPr>
                <w:color w:val="000000"/>
                <w:lang w:eastAsia="en-AU"/>
              </w:rPr>
            </w:pPr>
            <w:hyperlink r:id="rId20" w:tgtFrame="_blank" w:history="1">
              <w:r w:rsidRPr="00450FB4">
                <w:rPr>
                  <w:color w:val="0000FF"/>
                  <w:u w:val="single"/>
                  <w:lang w:eastAsia="en-AU"/>
                </w:rPr>
                <w:t>https://doi.org/10.1016/j.techfore.2021.120645</w:t>
              </w:r>
            </w:hyperlink>
          </w:p>
        </w:tc>
        <w:tc>
          <w:tcPr>
            <w:tcW w:w="0" w:type="auto"/>
            <w:vAlign w:val="center"/>
            <w:hideMark/>
          </w:tcPr>
          <w:p w14:paraId="3F105D52" w14:textId="77777777" w:rsidR="00576032" w:rsidRPr="00450FB4" w:rsidRDefault="00576032" w:rsidP="00CE69A0">
            <w:pPr>
              <w:widowControl/>
              <w:autoSpaceDE/>
              <w:autoSpaceDN/>
              <w:rPr>
                <w:lang w:eastAsia="en-AU"/>
              </w:rPr>
            </w:pPr>
          </w:p>
        </w:tc>
      </w:tr>
      <w:tr w:rsidR="00161788" w:rsidRPr="00450FB4" w14:paraId="63861F51" w14:textId="77777777" w:rsidTr="00CE69A0">
        <w:trPr>
          <w:tblCellSpacing w:w="5" w:type="dxa"/>
        </w:trPr>
        <w:tc>
          <w:tcPr>
            <w:tcW w:w="0" w:type="auto"/>
            <w:gridSpan w:val="2"/>
            <w:vAlign w:val="center"/>
            <w:hideMark/>
          </w:tcPr>
          <w:p w14:paraId="2AE6638F"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28F80A3" w14:textId="77777777" w:rsidTr="00CE69A0">
        <w:trPr>
          <w:tblCellSpacing w:w="5" w:type="dxa"/>
        </w:trPr>
        <w:tc>
          <w:tcPr>
            <w:tcW w:w="4943" w:type="pct"/>
            <w:vAlign w:val="center"/>
            <w:hideMark/>
          </w:tcPr>
          <w:p w14:paraId="2B6C5360" w14:textId="77777777" w:rsidR="00576032" w:rsidRPr="00450FB4" w:rsidRDefault="00D67080" w:rsidP="00CE69A0">
            <w:pPr>
              <w:widowControl/>
              <w:autoSpaceDE/>
              <w:autoSpaceDN/>
              <w:rPr>
                <w:color w:val="000000"/>
                <w:lang w:eastAsia="en-AU"/>
              </w:rPr>
            </w:pPr>
            <w:r w:rsidRPr="00450FB4">
              <w:rPr>
                <w:color w:val="000000"/>
                <w:lang w:eastAsia="en-AU"/>
              </w:rPr>
              <w:lastRenderedPageBreak/>
              <w:t xml:space="preserve">Chen, Y., Chiu, J., &amp; Chung, H. (2022). Givers or Receivers? Return and volatility spillovers between Fintech and the Traditional Financial Industry. Finance Research Letters, 46, 102458. </w:t>
            </w:r>
          </w:p>
          <w:p w14:paraId="75C74165" w14:textId="77777777" w:rsidR="00576032" w:rsidRPr="00450FB4" w:rsidRDefault="00576032" w:rsidP="00CE69A0">
            <w:pPr>
              <w:widowControl/>
              <w:autoSpaceDE/>
              <w:autoSpaceDN/>
              <w:rPr>
                <w:color w:val="000000"/>
                <w:lang w:eastAsia="en-AU"/>
              </w:rPr>
            </w:pPr>
            <w:hyperlink r:id="rId21" w:tgtFrame="_blank" w:history="1">
              <w:r w:rsidRPr="00450FB4">
                <w:rPr>
                  <w:color w:val="0000FF"/>
                  <w:u w:val="single"/>
                  <w:lang w:eastAsia="en-AU"/>
                </w:rPr>
                <w:t>https://doi.org/10.1016/j.frl.2021.102458</w:t>
              </w:r>
            </w:hyperlink>
          </w:p>
        </w:tc>
        <w:tc>
          <w:tcPr>
            <w:tcW w:w="0" w:type="auto"/>
            <w:vAlign w:val="center"/>
            <w:hideMark/>
          </w:tcPr>
          <w:p w14:paraId="7824B061" w14:textId="77777777" w:rsidR="00576032" w:rsidRPr="00450FB4" w:rsidRDefault="00576032" w:rsidP="00CE69A0">
            <w:pPr>
              <w:widowControl/>
              <w:autoSpaceDE/>
              <w:autoSpaceDN/>
              <w:rPr>
                <w:lang w:eastAsia="en-AU"/>
              </w:rPr>
            </w:pPr>
          </w:p>
        </w:tc>
      </w:tr>
      <w:tr w:rsidR="00161788" w:rsidRPr="00450FB4" w14:paraId="1FDCE8F9" w14:textId="77777777" w:rsidTr="00CE69A0">
        <w:trPr>
          <w:tblCellSpacing w:w="5" w:type="dxa"/>
        </w:trPr>
        <w:tc>
          <w:tcPr>
            <w:tcW w:w="0" w:type="auto"/>
            <w:gridSpan w:val="2"/>
            <w:vAlign w:val="center"/>
            <w:hideMark/>
          </w:tcPr>
          <w:p w14:paraId="4646A962"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2264D01" w14:textId="77777777" w:rsidTr="00CE69A0">
        <w:trPr>
          <w:tblCellSpacing w:w="5" w:type="dxa"/>
        </w:trPr>
        <w:tc>
          <w:tcPr>
            <w:tcW w:w="4943" w:type="pct"/>
            <w:vAlign w:val="center"/>
            <w:hideMark/>
          </w:tcPr>
          <w:p w14:paraId="78E26029" w14:textId="77777777" w:rsidR="00576032" w:rsidRPr="00450FB4" w:rsidRDefault="00D67080" w:rsidP="00CE69A0">
            <w:pPr>
              <w:widowControl/>
              <w:autoSpaceDE/>
              <w:autoSpaceDN/>
              <w:rPr>
                <w:color w:val="000000"/>
                <w:lang w:eastAsia="en-AU"/>
              </w:rPr>
            </w:pPr>
            <w:r w:rsidRPr="00450FB4">
              <w:rPr>
                <w:color w:val="000000"/>
                <w:lang w:eastAsia="en-AU"/>
              </w:rPr>
              <w:t>Choudhury, M. K., &amp; Rajib, P. (2017). Informational efficiency of national stock exchange (NSE), India: A comparison with seven selected markets. Choudhury, M. K., &amp; Rajib, P., 24(1), 56-80.</w:t>
            </w:r>
          </w:p>
        </w:tc>
        <w:tc>
          <w:tcPr>
            <w:tcW w:w="0" w:type="auto"/>
            <w:vAlign w:val="center"/>
            <w:hideMark/>
          </w:tcPr>
          <w:p w14:paraId="1F8FFE95" w14:textId="77777777" w:rsidR="00576032" w:rsidRPr="00450FB4" w:rsidRDefault="00576032" w:rsidP="00CE69A0">
            <w:pPr>
              <w:widowControl/>
              <w:autoSpaceDE/>
              <w:autoSpaceDN/>
              <w:rPr>
                <w:lang w:eastAsia="en-AU"/>
              </w:rPr>
            </w:pPr>
          </w:p>
        </w:tc>
      </w:tr>
      <w:tr w:rsidR="00161788" w:rsidRPr="00450FB4" w14:paraId="38A49B99" w14:textId="77777777" w:rsidTr="00CE69A0">
        <w:trPr>
          <w:tblCellSpacing w:w="5" w:type="dxa"/>
        </w:trPr>
        <w:tc>
          <w:tcPr>
            <w:tcW w:w="0" w:type="auto"/>
            <w:gridSpan w:val="2"/>
            <w:vAlign w:val="center"/>
            <w:hideMark/>
          </w:tcPr>
          <w:p w14:paraId="42650604"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AC139E2" w14:textId="77777777" w:rsidTr="00CE69A0">
        <w:trPr>
          <w:tblCellSpacing w:w="5" w:type="dxa"/>
        </w:trPr>
        <w:tc>
          <w:tcPr>
            <w:tcW w:w="4943" w:type="pct"/>
            <w:vAlign w:val="center"/>
            <w:hideMark/>
          </w:tcPr>
          <w:p w14:paraId="1DF215C0" w14:textId="77777777" w:rsidR="00576032" w:rsidRPr="00450FB4" w:rsidRDefault="00D67080" w:rsidP="00CE69A0">
            <w:pPr>
              <w:widowControl/>
              <w:autoSpaceDE/>
              <w:autoSpaceDN/>
              <w:rPr>
                <w:color w:val="000000"/>
                <w:lang w:eastAsia="en-AU"/>
              </w:rPr>
            </w:pPr>
            <w:r w:rsidRPr="00450FB4">
              <w:rPr>
                <w:color w:val="000000"/>
                <w:lang w:eastAsia="en-AU"/>
              </w:rPr>
              <w:t xml:space="preserve">Coase, R. H. (2013). The problem of social cost. Journal of Law and Economics, 56(4), 837-877. </w:t>
            </w:r>
          </w:p>
          <w:p w14:paraId="6B392011" w14:textId="77777777" w:rsidR="00576032" w:rsidRPr="00450FB4" w:rsidRDefault="00576032" w:rsidP="00CE69A0">
            <w:pPr>
              <w:widowControl/>
              <w:autoSpaceDE/>
              <w:autoSpaceDN/>
              <w:rPr>
                <w:color w:val="000000"/>
                <w:lang w:eastAsia="en-AU"/>
              </w:rPr>
            </w:pPr>
            <w:hyperlink r:id="rId22" w:tgtFrame="_blank" w:history="1">
              <w:r w:rsidRPr="00450FB4">
                <w:rPr>
                  <w:color w:val="0000FF"/>
                  <w:u w:val="single"/>
                  <w:lang w:eastAsia="en-AU"/>
                </w:rPr>
                <w:t>https://doi.org/10.1086/674872</w:t>
              </w:r>
            </w:hyperlink>
          </w:p>
        </w:tc>
        <w:tc>
          <w:tcPr>
            <w:tcW w:w="0" w:type="auto"/>
            <w:vAlign w:val="center"/>
            <w:hideMark/>
          </w:tcPr>
          <w:p w14:paraId="09902AA9" w14:textId="77777777" w:rsidR="00576032" w:rsidRPr="00450FB4" w:rsidRDefault="00576032" w:rsidP="00CE69A0">
            <w:pPr>
              <w:widowControl/>
              <w:autoSpaceDE/>
              <w:autoSpaceDN/>
              <w:rPr>
                <w:lang w:eastAsia="en-AU"/>
              </w:rPr>
            </w:pPr>
          </w:p>
        </w:tc>
      </w:tr>
      <w:tr w:rsidR="00161788" w:rsidRPr="00450FB4" w14:paraId="7CC1ACFA" w14:textId="77777777" w:rsidTr="00CE69A0">
        <w:trPr>
          <w:tblCellSpacing w:w="5" w:type="dxa"/>
        </w:trPr>
        <w:tc>
          <w:tcPr>
            <w:tcW w:w="0" w:type="auto"/>
            <w:gridSpan w:val="2"/>
            <w:vAlign w:val="center"/>
            <w:hideMark/>
          </w:tcPr>
          <w:p w14:paraId="61D67E8C"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55BB9A8" w14:textId="77777777" w:rsidTr="00CE69A0">
        <w:trPr>
          <w:tblCellSpacing w:w="5" w:type="dxa"/>
        </w:trPr>
        <w:tc>
          <w:tcPr>
            <w:tcW w:w="4943" w:type="pct"/>
            <w:vAlign w:val="center"/>
            <w:hideMark/>
          </w:tcPr>
          <w:p w14:paraId="2D15F725" w14:textId="77777777" w:rsidR="00576032" w:rsidRPr="00450FB4" w:rsidRDefault="00D67080" w:rsidP="00CE69A0">
            <w:pPr>
              <w:widowControl/>
              <w:autoSpaceDE/>
              <w:autoSpaceDN/>
              <w:rPr>
                <w:color w:val="000000"/>
                <w:lang w:eastAsia="en-AU"/>
              </w:rPr>
            </w:pPr>
            <w:r w:rsidRPr="00450FB4">
              <w:rPr>
                <w:color w:val="000000"/>
                <w:lang w:eastAsia="en-AU"/>
              </w:rPr>
              <w:t xml:space="preserve">Cui, H., &amp; Chi-Moon Leung, S. (2020). The long-run performance of acquiring firms in mergers and acquisitions: Does managerial ability matter? Journal of Contemporary Accounting &amp; Economics, 16(1), 100185. </w:t>
            </w:r>
          </w:p>
          <w:p w14:paraId="3EB717E4" w14:textId="77777777" w:rsidR="00576032" w:rsidRPr="00450FB4" w:rsidRDefault="00576032" w:rsidP="00CE69A0">
            <w:pPr>
              <w:widowControl/>
              <w:autoSpaceDE/>
              <w:autoSpaceDN/>
              <w:rPr>
                <w:color w:val="000000"/>
                <w:lang w:eastAsia="en-AU"/>
              </w:rPr>
            </w:pPr>
            <w:hyperlink r:id="rId23" w:tgtFrame="_blank" w:history="1">
              <w:r w:rsidRPr="00450FB4">
                <w:rPr>
                  <w:color w:val="0000FF"/>
                  <w:u w:val="single"/>
                  <w:lang w:eastAsia="en-AU"/>
                </w:rPr>
                <w:t>https://doi.org/10.1016/j.jcae.2020.100185</w:t>
              </w:r>
            </w:hyperlink>
          </w:p>
        </w:tc>
        <w:tc>
          <w:tcPr>
            <w:tcW w:w="0" w:type="auto"/>
            <w:vAlign w:val="center"/>
            <w:hideMark/>
          </w:tcPr>
          <w:p w14:paraId="111C4A51" w14:textId="77777777" w:rsidR="00576032" w:rsidRPr="00450FB4" w:rsidRDefault="00576032" w:rsidP="00CE69A0">
            <w:pPr>
              <w:widowControl/>
              <w:autoSpaceDE/>
              <w:autoSpaceDN/>
              <w:rPr>
                <w:lang w:eastAsia="en-AU"/>
              </w:rPr>
            </w:pPr>
          </w:p>
        </w:tc>
      </w:tr>
      <w:tr w:rsidR="00161788" w:rsidRPr="00450FB4" w14:paraId="08746828" w14:textId="77777777" w:rsidTr="00CE69A0">
        <w:trPr>
          <w:tblCellSpacing w:w="5" w:type="dxa"/>
        </w:trPr>
        <w:tc>
          <w:tcPr>
            <w:tcW w:w="0" w:type="auto"/>
            <w:gridSpan w:val="2"/>
            <w:vAlign w:val="center"/>
            <w:hideMark/>
          </w:tcPr>
          <w:p w14:paraId="2AEE064C"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AD92839" w14:textId="77777777" w:rsidTr="00CE69A0">
        <w:trPr>
          <w:tblCellSpacing w:w="5" w:type="dxa"/>
        </w:trPr>
        <w:tc>
          <w:tcPr>
            <w:tcW w:w="4943" w:type="pct"/>
            <w:vAlign w:val="center"/>
            <w:hideMark/>
          </w:tcPr>
          <w:p w14:paraId="74CC7223" w14:textId="77777777" w:rsidR="00576032" w:rsidRPr="00450FB4" w:rsidRDefault="00D67080" w:rsidP="00CE69A0">
            <w:pPr>
              <w:widowControl/>
              <w:autoSpaceDE/>
              <w:autoSpaceDN/>
              <w:rPr>
                <w:color w:val="000000"/>
                <w:lang w:eastAsia="en-AU"/>
              </w:rPr>
            </w:pPr>
            <w:r w:rsidRPr="00450FB4">
              <w:rPr>
                <w:color w:val="000000"/>
                <w:lang w:eastAsia="en-AU"/>
              </w:rPr>
              <w:t xml:space="preserve">Das, S. R. (2019). The future of fintech. Financial Management, 48(4), 981-1007. </w:t>
            </w:r>
          </w:p>
          <w:p w14:paraId="62439DFA" w14:textId="77777777" w:rsidR="00576032" w:rsidRPr="00450FB4" w:rsidRDefault="00576032" w:rsidP="00CE69A0">
            <w:pPr>
              <w:widowControl/>
              <w:autoSpaceDE/>
              <w:autoSpaceDN/>
              <w:rPr>
                <w:color w:val="000000"/>
                <w:lang w:eastAsia="en-AU"/>
              </w:rPr>
            </w:pPr>
            <w:hyperlink r:id="rId24" w:tgtFrame="_blank" w:history="1">
              <w:r w:rsidRPr="00450FB4">
                <w:rPr>
                  <w:color w:val="0000FF"/>
                  <w:u w:val="single"/>
                  <w:lang w:eastAsia="en-AU"/>
                </w:rPr>
                <w:t>https://doi.org/10.1111/fima.12297</w:t>
              </w:r>
            </w:hyperlink>
          </w:p>
        </w:tc>
        <w:tc>
          <w:tcPr>
            <w:tcW w:w="0" w:type="auto"/>
            <w:vAlign w:val="center"/>
            <w:hideMark/>
          </w:tcPr>
          <w:p w14:paraId="57106400" w14:textId="77777777" w:rsidR="00576032" w:rsidRPr="00450FB4" w:rsidRDefault="00576032" w:rsidP="00CE69A0">
            <w:pPr>
              <w:widowControl/>
              <w:autoSpaceDE/>
              <w:autoSpaceDN/>
              <w:rPr>
                <w:lang w:eastAsia="en-AU"/>
              </w:rPr>
            </w:pPr>
          </w:p>
        </w:tc>
      </w:tr>
      <w:tr w:rsidR="00161788" w:rsidRPr="00450FB4" w14:paraId="68F93FE1" w14:textId="77777777" w:rsidTr="00CE69A0">
        <w:trPr>
          <w:tblCellSpacing w:w="5" w:type="dxa"/>
        </w:trPr>
        <w:tc>
          <w:tcPr>
            <w:tcW w:w="0" w:type="auto"/>
            <w:gridSpan w:val="2"/>
            <w:vAlign w:val="center"/>
            <w:hideMark/>
          </w:tcPr>
          <w:p w14:paraId="67E8CC7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5E5E6A8" w14:textId="77777777" w:rsidTr="00CE69A0">
        <w:trPr>
          <w:tblCellSpacing w:w="5" w:type="dxa"/>
        </w:trPr>
        <w:tc>
          <w:tcPr>
            <w:tcW w:w="4943" w:type="pct"/>
            <w:vAlign w:val="center"/>
            <w:hideMark/>
          </w:tcPr>
          <w:p w14:paraId="3D149998" w14:textId="77777777" w:rsidR="00576032" w:rsidRPr="00450FB4" w:rsidRDefault="00D67080" w:rsidP="00CE69A0">
            <w:pPr>
              <w:widowControl/>
              <w:autoSpaceDE/>
              <w:autoSpaceDN/>
              <w:rPr>
                <w:color w:val="000000"/>
                <w:lang w:eastAsia="en-AU"/>
              </w:rPr>
            </w:pPr>
            <w:r w:rsidRPr="00450FB4">
              <w:rPr>
                <w:color w:val="000000"/>
                <w:lang w:eastAsia="en-AU"/>
              </w:rPr>
              <w:t xml:space="preserve">Dixit, B. K. (2019). Operating performance of acquirers after acquisition: evidence from India. Journal of Indian Business Research, 12(3), 327-341. </w:t>
            </w:r>
          </w:p>
          <w:p w14:paraId="5A55238D" w14:textId="77777777" w:rsidR="00576032" w:rsidRPr="00450FB4" w:rsidRDefault="00576032" w:rsidP="00CE69A0">
            <w:pPr>
              <w:widowControl/>
              <w:autoSpaceDE/>
              <w:autoSpaceDN/>
              <w:rPr>
                <w:color w:val="000000"/>
                <w:lang w:eastAsia="en-AU"/>
              </w:rPr>
            </w:pPr>
            <w:hyperlink r:id="rId25" w:tgtFrame="_blank" w:history="1">
              <w:r w:rsidRPr="00450FB4">
                <w:rPr>
                  <w:color w:val="0000FF"/>
                  <w:u w:val="single"/>
                  <w:lang w:eastAsia="en-AU"/>
                </w:rPr>
                <w:t>https://doi.org/10.1108/JIBR-08-2018-0204</w:t>
              </w:r>
            </w:hyperlink>
          </w:p>
        </w:tc>
        <w:tc>
          <w:tcPr>
            <w:tcW w:w="0" w:type="auto"/>
            <w:vAlign w:val="center"/>
            <w:hideMark/>
          </w:tcPr>
          <w:p w14:paraId="0F41AF11" w14:textId="77777777" w:rsidR="00576032" w:rsidRPr="00450FB4" w:rsidRDefault="00576032" w:rsidP="00CE69A0">
            <w:pPr>
              <w:widowControl/>
              <w:autoSpaceDE/>
              <w:autoSpaceDN/>
              <w:rPr>
                <w:lang w:eastAsia="en-AU"/>
              </w:rPr>
            </w:pPr>
          </w:p>
        </w:tc>
      </w:tr>
      <w:tr w:rsidR="00161788" w:rsidRPr="00450FB4" w14:paraId="74D5ADCD" w14:textId="77777777" w:rsidTr="00CE69A0">
        <w:trPr>
          <w:tblCellSpacing w:w="5" w:type="dxa"/>
        </w:trPr>
        <w:tc>
          <w:tcPr>
            <w:tcW w:w="0" w:type="auto"/>
            <w:gridSpan w:val="2"/>
            <w:vAlign w:val="center"/>
            <w:hideMark/>
          </w:tcPr>
          <w:p w14:paraId="3FCE9FCF"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C1A1DB0" w14:textId="77777777" w:rsidTr="00CE69A0">
        <w:trPr>
          <w:tblCellSpacing w:w="5" w:type="dxa"/>
        </w:trPr>
        <w:tc>
          <w:tcPr>
            <w:tcW w:w="4943" w:type="pct"/>
            <w:vAlign w:val="center"/>
            <w:hideMark/>
          </w:tcPr>
          <w:p w14:paraId="44797700" w14:textId="77777777" w:rsidR="00576032" w:rsidRPr="00450FB4" w:rsidRDefault="00D67080" w:rsidP="00CE69A0">
            <w:pPr>
              <w:widowControl/>
              <w:autoSpaceDE/>
              <w:autoSpaceDN/>
              <w:rPr>
                <w:color w:val="000000"/>
                <w:lang w:eastAsia="en-AU"/>
              </w:rPr>
            </w:pPr>
            <w:r w:rsidRPr="00450FB4">
              <w:rPr>
                <w:color w:val="000000"/>
                <w:lang w:eastAsia="en-AU"/>
              </w:rPr>
              <w:t xml:space="preserve">Dranev, Y., Frolova, K., &amp; Ochirova, E. (2019). The impact of fintech M&amp;amp;A on stock returns. Research in International Business and Finance, 48, 353-364. </w:t>
            </w:r>
          </w:p>
          <w:p w14:paraId="02D719A3" w14:textId="77777777" w:rsidR="00576032" w:rsidRPr="00450FB4" w:rsidRDefault="00576032" w:rsidP="00CE69A0">
            <w:pPr>
              <w:widowControl/>
              <w:autoSpaceDE/>
              <w:autoSpaceDN/>
              <w:rPr>
                <w:color w:val="000000"/>
                <w:lang w:eastAsia="en-AU"/>
              </w:rPr>
            </w:pPr>
            <w:hyperlink r:id="rId26" w:tgtFrame="_blank" w:history="1">
              <w:r w:rsidRPr="00450FB4">
                <w:rPr>
                  <w:color w:val="0000FF"/>
                  <w:u w:val="single"/>
                  <w:lang w:eastAsia="en-AU"/>
                </w:rPr>
                <w:t>https://doi.org/10.1016/j.ribaf.2019.01.012</w:t>
              </w:r>
            </w:hyperlink>
          </w:p>
        </w:tc>
        <w:tc>
          <w:tcPr>
            <w:tcW w:w="0" w:type="auto"/>
            <w:vAlign w:val="center"/>
            <w:hideMark/>
          </w:tcPr>
          <w:p w14:paraId="10FF4581" w14:textId="77777777" w:rsidR="00576032" w:rsidRPr="00450FB4" w:rsidRDefault="00576032" w:rsidP="00CE69A0">
            <w:pPr>
              <w:widowControl/>
              <w:autoSpaceDE/>
              <w:autoSpaceDN/>
              <w:rPr>
                <w:lang w:eastAsia="en-AU"/>
              </w:rPr>
            </w:pPr>
          </w:p>
        </w:tc>
      </w:tr>
      <w:tr w:rsidR="00161788" w:rsidRPr="00450FB4" w14:paraId="55572323" w14:textId="77777777" w:rsidTr="00CE69A0">
        <w:trPr>
          <w:tblCellSpacing w:w="5" w:type="dxa"/>
        </w:trPr>
        <w:tc>
          <w:tcPr>
            <w:tcW w:w="0" w:type="auto"/>
            <w:gridSpan w:val="2"/>
            <w:vAlign w:val="center"/>
            <w:hideMark/>
          </w:tcPr>
          <w:p w14:paraId="00F1BFC9"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A944040" w14:textId="77777777" w:rsidTr="00CE69A0">
        <w:trPr>
          <w:tblCellSpacing w:w="5" w:type="dxa"/>
        </w:trPr>
        <w:tc>
          <w:tcPr>
            <w:tcW w:w="4943" w:type="pct"/>
            <w:vAlign w:val="center"/>
            <w:hideMark/>
          </w:tcPr>
          <w:p w14:paraId="0AEBDA80" w14:textId="77777777" w:rsidR="00576032" w:rsidRPr="00450FB4" w:rsidRDefault="00D67080" w:rsidP="00CE69A0">
            <w:pPr>
              <w:widowControl/>
              <w:autoSpaceDE/>
              <w:autoSpaceDN/>
              <w:rPr>
                <w:color w:val="000000"/>
                <w:lang w:eastAsia="en-AU"/>
              </w:rPr>
            </w:pPr>
            <w:r w:rsidRPr="00450FB4">
              <w:rPr>
                <w:color w:val="000000"/>
                <w:lang w:eastAsia="en-AU"/>
              </w:rPr>
              <w:t xml:space="preserve">Dsouza, J. J., &amp; Mallikarjunappa, T. (2015). Does the Indian Stock Market Exhibit Random Walk? Paradigm, 19(1), 1-20. </w:t>
            </w:r>
          </w:p>
          <w:p w14:paraId="152A04D8" w14:textId="77777777" w:rsidR="00576032" w:rsidRPr="00450FB4" w:rsidRDefault="00576032" w:rsidP="00CE69A0">
            <w:pPr>
              <w:widowControl/>
              <w:autoSpaceDE/>
              <w:autoSpaceDN/>
              <w:rPr>
                <w:color w:val="000000"/>
                <w:lang w:eastAsia="en-AU"/>
              </w:rPr>
            </w:pPr>
            <w:hyperlink r:id="rId27" w:tgtFrame="_blank" w:history="1">
              <w:r w:rsidRPr="00450FB4">
                <w:rPr>
                  <w:color w:val="0000FF"/>
                  <w:u w:val="single"/>
                  <w:lang w:eastAsia="en-AU"/>
                </w:rPr>
                <w:t>https://doi.org/10.1177/0971890715585197</w:t>
              </w:r>
            </w:hyperlink>
          </w:p>
        </w:tc>
        <w:tc>
          <w:tcPr>
            <w:tcW w:w="0" w:type="auto"/>
            <w:vAlign w:val="center"/>
            <w:hideMark/>
          </w:tcPr>
          <w:p w14:paraId="0808899F" w14:textId="77777777" w:rsidR="00576032" w:rsidRPr="00450FB4" w:rsidRDefault="00576032" w:rsidP="00CE69A0">
            <w:pPr>
              <w:widowControl/>
              <w:autoSpaceDE/>
              <w:autoSpaceDN/>
              <w:rPr>
                <w:lang w:eastAsia="en-AU"/>
              </w:rPr>
            </w:pPr>
          </w:p>
        </w:tc>
      </w:tr>
      <w:tr w:rsidR="00161788" w:rsidRPr="00450FB4" w14:paraId="070E4344" w14:textId="77777777" w:rsidTr="00CE69A0">
        <w:trPr>
          <w:tblCellSpacing w:w="5" w:type="dxa"/>
        </w:trPr>
        <w:tc>
          <w:tcPr>
            <w:tcW w:w="0" w:type="auto"/>
            <w:gridSpan w:val="2"/>
            <w:vAlign w:val="center"/>
            <w:hideMark/>
          </w:tcPr>
          <w:p w14:paraId="3471A686"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CF8F17D" w14:textId="77777777" w:rsidTr="00CE69A0">
        <w:trPr>
          <w:tblCellSpacing w:w="5" w:type="dxa"/>
        </w:trPr>
        <w:tc>
          <w:tcPr>
            <w:tcW w:w="4943" w:type="pct"/>
            <w:vAlign w:val="center"/>
            <w:hideMark/>
          </w:tcPr>
          <w:p w14:paraId="49374059" w14:textId="77777777" w:rsidR="00576032" w:rsidRPr="00450FB4" w:rsidRDefault="00D67080" w:rsidP="00CE69A0">
            <w:pPr>
              <w:widowControl/>
              <w:autoSpaceDE/>
              <w:autoSpaceDN/>
              <w:rPr>
                <w:color w:val="000000"/>
                <w:lang w:eastAsia="en-AU"/>
              </w:rPr>
            </w:pPr>
            <w:r w:rsidRPr="00450FB4">
              <w:rPr>
                <w:color w:val="000000"/>
                <w:lang w:eastAsia="en-AU"/>
              </w:rPr>
              <w:t>Eisenhardt, K. M. (1985). Control: Organisational and Economic Approaches (Vol. 31, Issue 2). https://about.jstor.org/terms</w:t>
            </w:r>
          </w:p>
          <w:p w14:paraId="67AC7C75" w14:textId="77777777" w:rsidR="00576032" w:rsidRPr="00450FB4" w:rsidRDefault="00576032" w:rsidP="00CE69A0">
            <w:pPr>
              <w:widowControl/>
              <w:autoSpaceDE/>
              <w:autoSpaceDN/>
              <w:rPr>
                <w:color w:val="000000"/>
                <w:lang w:eastAsia="en-AU"/>
              </w:rPr>
            </w:pPr>
            <w:hyperlink r:id="rId28" w:tgtFrame="_blank" w:history="1">
              <w:r w:rsidRPr="00450FB4">
                <w:rPr>
                  <w:color w:val="0000FF"/>
                  <w:u w:val="single"/>
                  <w:lang w:eastAsia="en-AU"/>
                </w:rPr>
                <w:t>https://doi.org/10.1287/mnsc.31.2.134</w:t>
              </w:r>
            </w:hyperlink>
          </w:p>
        </w:tc>
        <w:tc>
          <w:tcPr>
            <w:tcW w:w="0" w:type="auto"/>
            <w:vAlign w:val="center"/>
            <w:hideMark/>
          </w:tcPr>
          <w:p w14:paraId="5F2F8472" w14:textId="77777777" w:rsidR="00576032" w:rsidRPr="00450FB4" w:rsidRDefault="00576032" w:rsidP="00CE69A0">
            <w:pPr>
              <w:widowControl/>
              <w:autoSpaceDE/>
              <w:autoSpaceDN/>
              <w:rPr>
                <w:lang w:eastAsia="en-AU"/>
              </w:rPr>
            </w:pPr>
          </w:p>
        </w:tc>
      </w:tr>
      <w:tr w:rsidR="00161788" w:rsidRPr="00450FB4" w14:paraId="1FC78F23" w14:textId="77777777" w:rsidTr="00CE69A0">
        <w:trPr>
          <w:tblCellSpacing w:w="5" w:type="dxa"/>
        </w:trPr>
        <w:tc>
          <w:tcPr>
            <w:tcW w:w="0" w:type="auto"/>
            <w:gridSpan w:val="2"/>
            <w:vAlign w:val="center"/>
            <w:hideMark/>
          </w:tcPr>
          <w:p w14:paraId="35552DB7"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EF1A6F2" w14:textId="77777777" w:rsidTr="00CE69A0">
        <w:trPr>
          <w:tblCellSpacing w:w="5" w:type="dxa"/>
        </w:trPr>
        <w:tc>
          <w:tcPr>
            <w:tcW w:w="4943" w:type="pct"/>
            <w:vAlign w:val="center"/>
            <w:hideMark/>
          </w:tcPr>
          <w:p w14:paraId="45CAFA65" w14:textId="77777777" w:rsidR="00576032" w:rsidRPr="00450FB4" w:rsidRDefault="00D67080" w:rsidP="00CE69A0">
            <w:pPr>
              <w:widowControl/>
              <w:autoSpaceDE/>
              <w:autoSpaceDN/>
              <w:rPr>
                <w:color w:val="000000"/>
                <w:lang w:eastAsia="en-AU"/>
              </w:rPr>
            </w:pPr>
            <w:r w:rsidRPr="00450FB4">
              <w:rPr>
                <w:color w:val="000000"/>
                <w:lang w:eastAsia="en-AU"/>
              </w:rPr>
              <w:t>Eisenhardt, K. M. (1989). Agency Theory: An Assessment and Review. In Source: The Academy of Management Review (Vol. 14, Issue 1). https://www.jstor.org/stable/258191</w:t>
            </w:r>
          </w:p>
          <w:p w14:paraId="16F4D5E0" w14:textId="77777777" w:rsidR="00576032" w:rsidRPr="00450FB4" w:rsidRDefault="00576032" w:rsidP="00CE69A0">
            <w:pPr>
              <w:widowControl/>
              <w:autoSpaceDE/>
              <w:autoSpaceDN/>
              <w:rPr>
                <w:color w:val="000000"/>
                <w:lang w:eastAsia="en-AU"/>
              </w:rPr>
            </w:pPr>
            <w:hyperlink r:id="rId29" w:tgtFrame="_blank" w:history="1">
              <w:r w:rsidRPr="00450FB4">
                <w:rPr>
                  <w:color w:val="0000FF"/>
                  <w:u w:val="single"/>
                  <w:lang w:eastAsia="en-AU"/>
                </w:rPr>
                <w:t>https://doi.org/10.2307/258191</w:t>
              </w:r>
            </w:hyperlink>
          </w:p>
        </w:tc>
        <w:tc>
          <w:tcPr>
            <w:tcW w:w="0" w:type="auto"/>
            <w:vAlign w:val="center"/>
            <w:hideMark/>
          </w:tcPr>
          <w:p w14:paraId="49BDBC67" w14:textId="77777777" w:rsidR="00576032" w:rsidRPr="00450FB4" w:rsidRDefault="00576032" w:rsidP="00CE69A0">
            <w:pPr>
              <w:widowControl/>
              <w:autoSpaceDE/>
              <w:autoSpaceDN/>
              <w:rPr>
                <w:lang w:eastAsia="en-AU"/>
              </w:rPr>
            </w:pPr>
          </w:p>
        </w:tc>
      </w:tr>
      <w:tr w:rsidR="00161788" w:rsidRPr="00450FB4" w14:paraId="3BDC15E4" w14:textId="77777777" w:rsidTr="00CE69A0">
        <w:trPr>
          <w:tblCellSpacing w:w="5" w:type="dxa"/>
        </w:trPr>
        <w:tc>
          <w:tcPr>
            <w:tcW w:w="0" w:type="auto"/>
            <w:gridSpan w:val="2"/>
            <w:vAlign w:val="center"/>
            <w:hideMark/>
          </w:tcPr>
          <w:p w14:paraId="679E3820"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51B6026" w14:textId="77777777" w:rsidTr="00CE69A0">
        <w:trPr>
          <w:tblCellSpacing w:w="5" w:type="dxa"/>
        </w:trPr>
        <w:tc>
          <w:tcPr>
            <w:tcW w:w="4943" w:type="pct"/>
            <w:vAlign w:val="center"/>
            <w:hideMark/>
          </w:tcPr>
          <w:p w14:paraId="0540A5BF" w14:textId="77777777" w:rsidR="00576032" w:rsidRPr="00450FB4" w:rsidRDefault="00D67080" w:rsidP="00CE69A0">
            <w:pPr>
              <w:widowControl/>
              <w:autoSpaceDE/>
              <w:autoSpaceDN/>
              <w:rPr>
                <w:color w:val="000000"/>
                <w:lang w:eastAsia="en-AU"/>
              </w:rPr>
            </w:pPr>
            <w:r w:rsidRPr="00450FB4">
              <w:rPr>
                <w:color w:val="000000"/>
                <w:lang w:eastAsia="en-AU"/>
              </w:rPr>
              <w:lastRenderedPageBreak/>
              <w:t>Fama, E. F., Fisher, L., Jensen, M. C., &amp; Roll, R. (1969). The adjustment of stock prices to new information. International Economic Review, 10(1), 1-21.</w:t>
            </w:r>
          </w:p>
          <w:p w14:paraId="1C2342AB" w14:textId="77777777" w:rsidR="00576032" w:rsidRPr="00450FB4" w:rsidRDefault="00576032" w:rsidP="00CE69A0">
            <w:pPr>
              <w:widowControl/>
              <w:autoSpaceDE/>
              <w:autoSpaceDN/>
              <w:rPr>
                <w:color w:val="000000"/>
                <w:lang w:eastAsia="en-AU"/>
              </w:rPr>
            </w:pPr>
            <w:hyperlink r:id="rId30" w:tgtFrame="_blank" w:history="1">
              <w:r w:rsidRPr="00450FB4">
                <w:rPr>
                  <w:color w:val="0000FF"/>
                  <w:u w:val="single"/>
                  <w:lang w:eastAsia="en-AU"/>
                </w:rPr>
                <w:t>https://doi.org/10.2307/2525569</w:t>
              </w:r>
            </w:hyperlink>
          </w:p>
        </w:tc>
        <w:tc>
          <w:tcPr>
            <w:tcW w:w="0" w:type="auto"/>
            <w:vAlign w:val="center"/>
            <w:hideMark/>
          </w:tcPr>
          <w:p w14:paraId="0FC14908" w14:textId="77777777" w:rsidR="00576032" w:rsidRPr="00450FB4" w:rsidRDefault="00576032" w:rsidP="00CE69A0">
            <w:pPr>
              <w:widowControl/>
              <w:autoSpaceDE/>
              <w:autoSpaceDN/>
              <w:rPr>
                <w:lang w:eastAsia="en-AU"/>
              </w:rPr>
            </w:pPr>
          </w:p>
        </w:tc>
      </w:tr>
      <w:tr w:rsidR="00161788" w:rsidRPr="00450FB4" w14:paraId="017F2B39" w14:textId="77777777" w:rsidTr="00CE69A0">
        <w:trPr>
          <w:tblCellSpacing w:w="5" w:type="dxa"/>
        </w:trPr>
        <w:tc>
          <w:tcPr>
            <w:tcW w:w="0" w:type="auto"/>
            <w:gridSpan w:val="2"/>
            <w:vAlign w:val="center"/>
            <w:hideMark/>
          </w:tcPr>
          <w:p w14:paraId="064433AD"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83A9BD4" w14:textId="77777777" w:rsidTr="00CE69A0">
        <w:trPr>
          <w:tblCellSpacing w:w="5" w:type="dxa"/>
        </w:trPr>
        <w:tc>
          <w:tcPr>
            <w:tcW w:w="4943" w:type="pct"/>
            <w:vAlign w:val="center"/>
            <w:hideMark/>
          </w:tcPr>
          <w:p w14:paraId="06A9E61A" w14:textId="77777777" w:rsidR="00576032" w:rsidRPr="00450FB4" w:rsidRDefault="00D67080" w:rsidP="00CE69A0">
            <w:pPr>
              <w:widowControl/>
              <w:autoSpaceDE/>
              <w:autoSpaceDN/>
              <w:rPr>
                <w:color w:val="000000"/>
                <w:lang w:eastAsia="en-AU"/>
              </w:rPr>
            </w:pPr>
            <w:r w:rsidRPr="00450FB4">
              <w:rPr>
                <w:color w:val="000000"/>
                <w:lang w:eastAsia="en-AU"/>
              </w:rPr>
              <w:t xml:space="preserve">Firmansyah, E. A., Masri, M., Anshari, M., &amp; Besar, M. H. A. (2024). Innovation in finance: a bibliometric and content-analysis study. In Nankai Business Review International. Emerald Publishing. </w:t>
            </w:r>
          </w:p>
          <w:p w14:paraId="3EED365C" w14:textId="77777777" w:rsidR="00576032" w:rsidRPr="00450FB4" w:rsidRDefault="00576032" w:rsidP="00CE69A0">
            <w:pPr>
              <w:widowControl/>
              <w:autoSpaceDE/>
              <w:autoSpaceDN/>
              <w:rPr>
                <w:color w:val="000000"/>
                <w:lang w:eastAsia="en-AU"/>
              </w:rPr>
            </w:pPr>
            <w:hyperlink r:id="rId31" w:tgtFrame="_blank" w:history="1">
              <w:r w:rsidRPr="00450FB4">
                <w:rPr>
                  <w:color w:val="0000FF"/>
                  <w:u w:val="single"/>
                  <w:lang w:eastAsia="en-AU"/>
                </w:rPr>
                <w:t>https://doi.org/10.1108/NBRI-08-2023-0071</w:t>
              </w:r>
            </w:hyperlink>
          </w:p>
        </w:tc>
        <w:tc>
          <w:tcPr>
            <w:tcW w:w="0" w:type="auto"/>
            <w:vAlign w:val="center"/>
            <w:hideMark/>
          </w:tcPr>
          <w:p w14:paraId="2D4B2E43" w14:textId="77777777" w:rsidR="00576032" w:rsidRPr="00450FB4" w:rsidRDefault="00576032" w:rsidP="00CE69A0">
            <w:pPr>
              <w:widowControl/>
              <w:autoSpaceDE/>
              <w:autoSpaceDN/>
              <w:rPr>
                <w:lang w:eastAsia="en-AU"/>
              </w:rPr>
            </w:pPr>
          </w:p>
        </w:tc>
      </w:tr>
      <w:tr w:rsidR="00161788" w:rsidRPr="00450FB4" w14:paraId="280AAA96" w14:textId="77777777" w:rsidTr="00CE69A0">
        <w:trPr>
          <w:tblCellSpacing w:w="5" w:type="dxa"/>
        </w:trPr>
        <w:tc>
          <w:tcPr>
            <w:tcW w:w="0" w:type="auto"/>
            <w:gridSpan w:val="2"/>
            <w:vAlign w:val="center"/>
            <w:hideMark/>
          </w:tcPr>
          <w:p w14:paraId="3B78E58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C7FFA23" w14:textId="77777777" w:rsidTr="00CE69A0">
        <w:trPr>
          <w:tblCellSpacing w:w="5" w:type="dxa"/>
        </w:trPr>
        <w:tc>
          <w:tcPr>
            <w:tcW w:w="4943" w:type="pct"/>
            <w:vAlign w:val="center"/>
            <w:hideMark/>
          </w:tcPr>
          <w:p w14:paraId="3C3F12F6" w14:textId="77777777" w:rsidR="00576032" w:rsidRPr="00450FB4" w:rsidRDefault="00D67080" w:rsidP="00CE69A0">
            <w:pPr>
              <w:widowControl/>
              <w:autoSpaceDE/>
              <w:autoSpaceDN/>
              <w:rPr>
                <w:color w:val="000000"/>
                <w:lang w:eastAsia="en-AU"/>
              </w:rPr>
            </w:pPr>
            <w:r w:rsidRPr="00450FB4">
              <w:rPr>
                <w:color w:val="000000"/>
                <w:lang w:eastAsia="en-AU"/>
              </w:rPr>
              <w:t>Giglio, F. (2021). Fintech : A Literature Review. XXIV(2), 600-627.</w:t>
            </w:r>
          </w:p>
          <w:p w14:paraId="5AC7325E" w14:textId="77777777" w:rsidR="00576032" w:rsidRPr="00450FB4" w:rsidRDefault="00576032" w:rsidP="00CE69A0">
            <w:pPr>
              <w:widowControl/>
              <w:autoSpaceDE/>
              <w:autoSpaceDN/>
              <w:rPr>
                <w:color w:val="000000"/>
                <w:lang w:eastAsia="en-AU"/>
              </w:rPr>
            </w:pPr>
            <w:hyperlink r:id="rId32" w:tgtFrame="_blank" w:history="1">
              <w:r w:rsidRPr="00450FB4">
                <w:rPr>
                  <w:color w:val="0000FF"/>
                  <w:u w:val="single"/>
                  <w:lang w:eastAsia="en-AU"/>
                </w:rPr>
                <w:t>https://doi.org/10.35808/ersj/2254</w:t>
              </w:r>
            </w:hyperlink>
          </w:p>
        </w:tc>
        <w:tc>
          <w:tcPr>
            <w:tcW w:w="0" w:type="auto"/>
            <w:vAlign w:val="center"/>
            <w:hideMark/>
          </w:tcPr>
          <w:p w14:paraId="26E43989" w14:textId="77777777" w:rsidR="00576032" w:rsidRPr="00450FB4" w:rsidRDefault="00576032" w:rsidP="00CE69A0">
            <w:pPr>
              <w:widowControl/>
              <w:autoSpaceDE/>
              <w:autoSpaceDN/>
              <w:rPr>
                <w:lang w:eastAsia="en-AU"/>
              </w:rPr>
            </w:pPr>
          </w:p>
        </w:tc>
      </w:tr>
      <w:tr w:rsidR="00161788" w:rsidRPr="00450FB4" w14:paraId="00F64AE9" w14:textId="77777777" w:rsidTr="00CE69A0">
        <w:trPr>
          <w:tblCellSpacing w:w="5" w:type="dxa"/>
        </w:trPr>
        <w:tc>
          <w:tcPr>
            <w:tcW w:w="0" w:type="auto"/>
            <w:gridSpan w:val="2"/>
            <w:vAlign w:val="center"/>
            <w:hideMark/>
          </w:tcPr>
          <w:p w14:paraId="74ABE17C"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7F8212B" w14:textId="77777777" w:rsidTr="00CE69A0">
        <w:trPr>
          <w:tblCellSpacing w:w="5" w:type="dxa"/>
        </w:trPr>
        <w:tc>
          <w:tcPr>
            <w:tcW w:w="4943" w:type="pct"/>
            <w:vAlign w:val="center"/>
            <w:hideMark/>
          </w:tcPr>
          <w:p w14:paraId="03A47FAD" w14:textId="77777777" w:rsidR="00576032" w:rsidRPr="00450FB4" w:rsidRDefault="00D67080" w:rsidP="00CE69A0">
            <w:pPr>
              <w:widowControl/>
              <w:autoSpaceDE/>
              <w:autoSpaceDN/>
              <w:rPr>
                <w:color w:val="000000"/>
                <w:lang w:eastAsia="en-AU"/>
              </w:rPr>
            </w:pPr>
            <w:r w:rsidRPr="00450FB4">
              <w:rPr>
                <w:color w:val="000000"/>
                <w:lang w:eastAsia="en-AU"/>
              </w:rPr>
              <w:t xml:space="preserve">Gomber, P., Kauffman, R. J., Parker, C., &amp; Weber, B. W. (2018a). On the Fintech Revolution: Interpreting the Forces of Innovation, Disruption, and Transformation in Financial Services. Journal of Management Information Systems, 35(1), 220-265. </w:t>
            </w:r>
          </w:p>
          <w:p w14:paraId="58C2B7B6" w14:textId="77777777" w:rsidR="00576032" w:rsidRPr="00450FB4" w:rsidRDefault="00576032" w:rsidP="00CE69A0">
            <w:pPr>
              <w:widowControl/>
              <w:autoSpaceDE/>
              <w:autoSpaceDN/>
              <w:rPr>
                <w:color w:val="000000"/>
                <w:lang w:eastAsia="en-AU"/>
              </w:rPr>
            </w:pPr>
            <w:hyperlink r:id="rId33" w:tgtFrame="_blank" w:history="1">
              <w:r w:rsidRPr="00450FB4">
                <w:rPr>
                  <w:color w:val="0000FF"/>
                  <w:u w:val="single"/>
                  <w:lang w:eastAsia="en-AU"/>
                </w:rPr>
                <w:t>https://doi.org/10.1080/07421222.2018.1440766</w:t>
              </w:r>
            </w:hyperlink>
          </w:p>
        </w:tc>
        <w:tc>
          <w:tcPr>
            <w:tcW w:w="0" w:type="auto"/>
            <w:vAlign w:val="center"/>
            <w:hideMark/>
          </w:tcPr>
          <w:p w14:paraId="410E985E" w14:textId="77777777" w:rsidR="00576032" w:rsidRPr="00450FB4" w:rsidRDefault="00576032" w:rsidP="00CE69A0">
            <w:pPr>
              <w:widowControl/>
              <w:autoSpaceDE/>
              <w:autoSpaceDN/>
              <w:rPr>
                <w:lang w:eastAsia="en-AU"/>
              </w:rPr>
            </w:pPr>
          </w:p>
        </w:tc>
      </w:tr>
      <w:tr w:rsidR="00161788" w:rsidRPr="00450FB4" w14:paraId="40ED1778" w14:textId="77777777" w:rsidTr="00CE69A0">
        <w:trPr>
          <w:tblCellSpacing w:w="5" w:type="dxa"/>
        </w:trPr>
        <w:tc>
          <w:tcPr>
            <w:tcW w:w="0" w:type="auto"/>
            <w:gridSpan w:val="2"/>
            <w:vAlign w:val="center"/>
            <w:hideMark/>
          </w:tcPr>
          <w:p w14:paraId="351D525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59D31E6" w14:textId="77777777" w:rsidTr="00CE69A0">
        <w:trPr>
          <w:tblCellSpacing w:w="5" w:type="dxa"/>
        </w:trPr>
        <w:tc>
          <w:tcPr>
            <w:tcW w:w="4943" w:type="pct"/>
            <w:vAlign w:val="center"/>
            <w:hideMark/>
          </w:tcPr>
          <w:p w14:paraId="62AA2917" w14:textId="77777777" w:rsidR="00576032" w:rsidRPr="00450FB4" w:rsidRDefault="00D67080" w:rsidP="00CE69A0">
            <w:pPr>
              <w:widowControl/>
              <w:autoSpaceDE/>
              <w:autoSpaceDN/>
              <w:rPr>
                <w:color w:val="000000"/>
                <w:lang w:eastAsia="en-AU"/>
              </w:rPr>
            </w:pPr>
            <w:r w:rsidRPr="00450FB4">
              <w:rPr>
                <w:color w:val="000000"/>
                <w:lang w:eastAsia="en-AU"/>
              </w:rPr>
              <w:t xml:space="preserve">Gomber, P., Kauffman, R. J., Parker, C., &amp; Weber, B. W. (2018b). On the Fintech Revolution: Interpreting the Forces of Innovation, Disruption, and Transformation in Financial Services. Journal of Management Information Systems, 35(1), 220-265. </w:t>
            </w:r>
          </w:p>
          <w:p w14:paraId="34F730AC" w14:textId="77777777" w:rsidR="00576032" w:rsidRPr="00450FB4" w:rsidRDefault="00576032" w:rsidP="00CE69A0">
            <w:pPr>
              <w:widowControl/>
              <w:autoSpaceDE/>
              <w:autoSpaceDN/>
              <w:rPr>
                <w:color w:val="000000"/>
                <w:lang w:eastAsia="en-AU"/>
              </w:rPr>
            </w:pPr>
            <w:hyperlink r:id="rId34" w:tgtFrame="_blank" w:history="1">
              <w:r w:rsidRPr="00450FB4">
                <w:rPr>
                  <w:color w:val="0000FF"/>
                  <w:u w:val="single"/>
                  <w:lang w:eastAsia="en-AU"/>
                </w:rPr>
                <w:t>https://doi.org/10.1080/07421222.2018.1440766</w:t>
              </w:r>
            </w:hyperlink>
          </w:p>
        </w:tc>
        <w:tc>
          <w:tcPr>
            <w:tcW w:w="0" w:type="auto"/>
            <w:vAlign w:val="center"/>
            <w:hideMark/>
          </w:tcPr>
          <w:p w14:paraId="0A12FDBF" w14:textId="77777777" w:rsidR="00576032" w:rsidRPr="00450FB4" w:rsidRDefault="00576032" w:rsidP="00CE69A0">
            <w:pPr>
              <w:widowControl/>
              <w:autoSpaceDE/>
              <w:autoSpaceDN/>
              <w:rPr>
                <w:lang w:eastAsia="en-AU"/>
              </w:rPr>
            </w:pPr>
          </w:p>
        </w:tc>
      </w:tr>
      <w:tr w:rsidR="00161788" w:rsidRPr="00450FB4" w14:paraId="13C8B2F0" w14:textId="77777777" w:rsidTr="00CE69A0">
        <w:trPr>
          <w:tblCellSpacing w:w="5" w:type="dxa"/>
        </w:trPr>
        <w:tc>
          <w:tcPr>
            <w:tcW w:w="0" w:type="auto"/>
            <w:gridSpan w:val="2"/>
            <w:vAlign w:val="center"/>
            <w:hideMark/>
          </w:tcPr>
          <w:p w14:paraId="4A90102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CDA9C49" w14:textId="77777777" w:rsidTr="00CE69A0">
        <w:trPr>
          <w:tblCellSpacing w:w="5" w:type="dxa"/>
        </w:trPr>
        <w:tc>
          <w:tcPr>
            <w:tcW w:w="4943" w:type="pct"/>
            <w:vAlign w:val="center"/>
            <w:hideMark/>
          </w:tcPr>
          <w:p w14:paraId="158563F4" w14:textId="77777777" w:rsidR="00576032" w:rsidRPr="00450FB4" w:rsidRDefault="00D67080" w:rsidP="00CE69A0">
            <w:pPr>
              <w:widowControl/>
              <w:autoSpaceDE/>
              <w:autoSpaceDN/>
              <w:rPr>
                <w:color w:val="000000"/>
                <w:lang w:eastAsia="en-AU"/>
              </w:rPr>
            </w:pPr>
            <w:r w:rsidRPr="00450FB4">
              <w:rPr>
                <w:color w:val="000000"/>
                <w:lang w:eastAsia="en-AU"/>
              </w:rPr>
              <w:t xml:space="preserve">Gomber, P., Koch, J.-A., &amp; Siering, M. (2017). Digital Finance and FinTech: current research and future research directions. Journal of Business Economics, 87(5), 537-580. </w:t>
            </w:r>
          </w:p>
          <w:p w14:paraId="3958350C" w14:textId="77777777" w:rsidR="00576032" w:rsidRPr="00450FB4" w:rsidRDefault="00576032" w:rsidP="00CE69A0">
            <w:pPr>
              <w:widowControl/>
              <w:autoSpaceDE/>
              <w:autoSpaceDN/>
              <w:rPr>
                <w:color w:val="000000"/>
                <w:lang w:eastAsia="en-AU"/>
              </w:rPr>
            </w:pPr>
            <w:hyperlink r:id="rId35" w:tgtFrame="_blank" w:history="1">
              <w:r w:rsidRPr="00450FB4">
                <w:rPr>
                  <w:color w:val="0000FF"/>
                  <w:u w:val="single"/>
                  <w:lang w:eastAsia="en-AU"/>
                </w:rPr>
                <w:t>https://doi.org/10.1007/s11573-017-0852-x</w:t>
              </w:r>
            </w:hyperlink>
          </w:p>
        </w:tc>
        <w:tc>
          <w:tcPr>
            <w:tcW w:w="0" w:type="auto"/>
            <w:vAlign w:val="center"/>
            <w:hideMark/>
          </w:tcPr>
          <w:p w14:paraId="07F7EA0D" w14:textId="77777777" w:rsidR="00576032" w:rsidRPr="00450FB4" w:rsidRDefault="00576032" w:rsidP="00CE69A0">
            <w:pPr>
              <w:widowControl/>
              <w:autoSpaceDE/>
              <w:autoSpaceDN/>
              <w:rPr>
                <w:lang w:eastAsia="en-AU"/>
              </w:rPr>
            </w:pPr>
          </w:p>
        </w:tc>
      </w:tr>
      <w:tr w:rsidR="00161788" w:rsidRPr="00450FB4" w14:paraId="1B017F4E" w14:textId="77777777" w:rsidTr="00CE69A0">
        <w:trPr>
          <w:tblCellSpacing w:w="5" w:type="dxa"/>
        </w:trPr>
        <w:tc>
          <w:tcPr>
            <w:tcW w:w="0" w:type="auto"/>
            <w:gridSpan w:val="2"/>
            <w:vAlign w:val="center"/>
            <w:hideMark/>
          </w:tcPr>
          <w:p w14:paraId="79AA72C2"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20265E0" w14:textId="77777777" w:rsidTr="00CE69A0">
        <w:trPr>
          <w:tblCellSpacing w:w="5" w:type="dxa"/>
        </w:trPr>
        <w:tc>
          <w:tcPr>
            <w:tcW w:w="4943" w:type="pct"/>
            <w:vAlign w:val="center"/>
            <w:hideMark/>
          </w:tcPr>
          <w:p w14:paraId="237D8C82" w14:textId="77777777" w:rsidR="00576032" w:rsidRPr="00450FB4" w:rsidRDefault="00D67080" w:rsidP="00CE69A0">
            <w:pPr>
              <w:widowControl/>
              <w:autoSpaceDE/>
              <w:autoSpaceDN/>
              <w:rPr>
                <w:color w:val="000000"/>
                <w:lang w:eastAsia="en-AU"/>
              </w:rPr>
            </w:pPr>
            <w:r w:rsidRPr="00450FB4">
              <w:rPr>
                <w:color w:val="000000"/>
                <w:lang w:eastAsia="en-AU"/>
              </w:rPr>
              <w:t>Gupta, R., &amp; Yang, J. (2011). Testing weak form efficiency in the indian capital market. International Research Journal of Finance and Economics, 75(75), 108-119.</w:t>
            </w:r>
          </w:p>
        </w:tc>
        <w:tc>
          <w:tcPr>
            <w:tcW w:w="0" w:type="auto"/>
            <w:vAlign w:val="center"/>
            <w:hideMark/>
          </w:tcPr>
          <w:p w14:paraId="22842168" w14:textId="77777777" w:rsidR="00576032" w:rsidRPr="00450FB4" w:rsidRDefault="00576032" w:rsidP="00CE69A0">
            <w:pPr>
              <w:widowControl/>
              <w:autoSpaceDE/>
              <w:autoSpaceDN/>
              <w:rPr>
                <w:lang w:eastAsia="en-AU"/>
              </w:rPr>
            </w:pPr>
          </w:p>
        </w:tc>
      </w:tr>
      <w:tr w:rsidR="00161788" w:rsidRPr="00450FB4" w14:paraId="54CCFE8E" w14:textId="77777777" w:rsidTr="00CE69A0">
        <w:trPr>
          <w:tblCellSpacing w:w="5" w:type="dxa"/>
        </w:trPr>
        <w:tc>
          <w:tcPr>
            <w:tcW w:w="0" w:type="auto"/>
            <w:gridSpan w:val="2"/>
            <w:vAlign w:val="center"/>
            <w:hideMark/>
          </w:tcPr>
          <w:p w14:paraId="710B2D12"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6EC9625" w14:textId="77777777" w:rsidTr="00CE69A0">
        <w:trPr>
          <w:tblCellSpacing w:w="5" w:type="dxa"/>
        </w:trPr>
        <w:tc>
          <w:tcPr>
            <w:tcW w:w="4943" w:type="pct"/>
            <w:vAlign w:val="center"/>
            <w:hideMark/>
          </w:tcPr>
          <w:p w14:paraId="574E6088" w14:textId="77777777" w:rsidR="00576032" w:rsidRPr="00450FB4" w:rsidRDefault="00D67080" w:rsidP="00CE69A0">
            <w:pPr>
              <w:widowControl/>
              <w:autoSpaceDE/>
              <w:autoSpaceDN/>
              <w:rPr>
                <w:color w:val="000000"/>
                <w:lang w:eastAsia="en-AU"/>
              </w:rPr>
            </w:pPr>
            <w:r w:rsidRPr="00450FB4">
              <w:rPr>
                <w:color w:val="000000"/>
                <w:lang w:eastAsia="en-AU"/>
              </w:rPr>
              <w:t xml:space="preserve">Haddad, C., &amp; Hornuf, L. (2019a). The emergence of the global fintech market: economic and technological determinants. Small Business Economics, 53(1), 81-105. </w:t>
            </w:r>
          </w:p>
          <w:p w14:paraId="74DA1E2A" w14:textId="77777777" w:rsidR="00576032" w:rsidRPr="00450FB4" w:rsidRDefault="00576032" w:rsidP="00CE69A0">
            <w:pPr>
              <w:widowControl/>
              <w:autoSpaceDE/>
              <w:autoSpaceDN/>
              <w:rPr>
                <w:color w:val="000000"/>
                <w:lang w:eastAsia="en-AU"/>
              </w:rPr>
            </w:pPr>
            <w:hyperlink r:id="rId36" w:tgtFrame="_blank" w:history="1">
              <w:r w:rsidRPr="00450FB4">
                <w:rPr>
                  <w:color w:val="0000FF"/>
                  <w:u w:val="single"/>
                  <w:lang w:eastAsia="en-AU"/>
                </w:rPr>
                <w:t>https://doi.org/10.1007/s11187-018-9991-x</w:t>
              </w:r>
            </w:hyperlink>
          </w:p>
        </w:tc>
        <w:tc>
          <w:tcPr>
            <w:tcW w:w="0" w:type="auto"/>
            <w:vAlign w:val="center"/>
            <w:hideMark/>
          </w:tcPr>
          <w:p w14:paraId="6EC42C83" w14:textId="77777777" w:rsidR="00576032" w:rsidRPr="00450FB4" w:rsidRDefault="00576032" w:rsidP="00CE69A0">
            <w:pPr>
              <w:widowControl/>
              <w:autoSpaceDE/>
              <w:autoSpaceDN/>
              <w:rPr>
                <w:lang w:eastAsia="en-AU"/>
              </w:rPr>
            </w:pPr>
          </w:p>
        </w:tc>
      </w:tr>
      <w:tr w:rsidR="00161788" w:rsidRPr="00450FB4" w14:paraId="2784FF5C" w14:textId="77777777" w:rsidTr="00CE69A0">
        <w:trPr>
          <w:tblCellSpacing w:w="5" w:type="dxa"/>
        </w:trPr>
        <w:tc>
          <w:tcPr>
            <w:tcW w:w="0" w:type="auto"/>
            <w:gridSpan w:val="2"/>
            <w:vAlign w:val="center"/>
            <w:hideMark/>
          </w:tcPr>
          <w:p w14:paraId="6D4913AF"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FA93BCC" w14:textId="77777777" w:rsidTr="00CE69A0">
        <w:trPr>
          <w:tblCellSpacing w:w="5" w:type="dxa"/>
        </w:trPr>
        <w:tc>
          <w:tcPr>
            <w:tcW w:w="4943" w:type="pct"/>
            <w:vAlign w:val="center"/>
            <w:hideMark/>
          </w:tcPr>
          <w:p w14:paraId="34453DB8" w14:textId="77777777" w:rsidR="00576032" w:rsidRPr="00450FB4" w:rsidRDefault="00D67080" w:rsidP="00CE69A0">
            <w:pPr>
              <w:widowControl/>
              <w:autoSpaceDE/>
              <w:autoSpaceDN/>
              <w:rPr>
                <w:color w:val="000000"/>
                <w:lang w:eastAsia="en-AU"/>
              </w:rPr>
            </w:pPr>
            <w:r w:rsidRPr="00450FB4">
              <w:rPr>
                <w:color w:val="000000"/>
                <w:lang w:eastAsia="en-AU"/>
              </w:rPr>
              <w:t xml:space="preserve">Haddad, C., &amp; Hornuf, L. (2019b). The emergence of the global fintech market: economic and technological determinants. Small Business Economics, 53(1), 81-105. </w:t>
            </w:r>
          </w:p>
          <w:p w14:paraId="5F5D98C1" w14:textId="77777777" w:rsidR="00576032" w:rsidRPr="00450FB4" w:rsidRDefault="00576032" w:rsidP="00CE69A0">
            <w:pPr>
              <w:widowControl/>
              <w:autoSpaceDE/>
              <w:autoSpaceDN/>
              <w:rPr>
                <w:color w:val="000000"/>
                <w:lang w:eastAsia="en-AU"/>
              </w:rPr>
            </w:pPr>
            <w:hyperlink r:id="rId37" w:tgtFrame="_blank" w:history="1">
              <w:r w:rsidRPr="00450FB4">
                <w:rPr>
                  <w:color w:val="0000FF"/>
                  <w:u w:val="single"/>
                  <w:lang w:eastAsia="en-AU"/>
                </w:rPr>
                <w:t>https://doi.org/10.1007/s11187-018-9991-x</w:t>
              </w:r>
            </w:hyperlink>
          </w:p>
        </w:tc>
        <w:tc>
          <w:tcPr>
            <w:tcW w:w="0" w:type="auto"/>
            <w:vAlign w:val="center"/>
            <w:hideMark/>
          </w:tcPr>
          <w:p w14:paraId="24BA06F2" w14:textId="77777777" w:rsidR="00576032" w:rsidRPr="00450FB4" w:rsidRDefault="00576032" w:rsidP="00CE69A0">
            <w:pPr>
              <w:widowControl/>
              <w:autoSpaceDE/>
              <w:autoSpaceDN/>
              <w:rPr>
                <w:lang w:eastAsia="en-AU"/>
              </w:rPr>
            </w:pPr>
          </w:p>
        </w:tc>
      </w:tr>
      <w:tr w:rsidR="00161788" w:rsidRPr="00450FB4" w14:paraId="281769B3" w14:textId="77777777" w:rsidTr="00CE69A0">
        <w:trPr>
          <w:tblCellSpacing w:w="5" w:type="dxa"/>
        </w:trPr>
        <w:tc>
          <w:tcPr>
            <w:tcW w:w="0" w:type="auto"/>
            <w:gridSpan w:val="2"/>
            <w:vAlign w:val="center"/>
            <w:hideMark/>
          </w:tcPr>
          <w:p w14:paraId="6A67B854"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FE95D44" w14:textId="77777777" w:rsidTr="00CE69A0">
        <w:trPr>
          <w:tblCellSpacing w:w="5" w:type="dxa"/>
        </w:trPr>
        <w:tc>
          <w:tcPr>
            <w:tcW w:w="4943" w:type="pct"/>
            <w:vAlign w:val="center"/>
            <w:hideMark/>
          </w:tcPr>
          <w:p w14:paraId="253EC32F" w14:textId="77777777" w:rsidR="00576032" w:rsidRPr="00450FB4" w:rsidRDefault="00D67080" w:rsidP="00CE69A0">
            <w:pPr>
              <w:widowControl/>
              <w:autoSpaceDE/>
              <w:autoSpaceDN/>
              <w:rPr>
                <w:color w:val="000000"/>
                <w:lang w:eastAsia="en-AU"/>
              </w:rPr>
            </w:pPr>
            <w:r w:rsidRPr="00450FB4">
              <w:rPr>
                <w:color w:val="000000"/>
                <w:lang w:eastAsia="en-AU"/>
              </w:rPr>
              <w:t>Harris, J. L. (2021). Bridging the gap between 'Fin' and 'Tech': The role of accelerator networks in emerging FinTech entrepreneurial ecosystems. Geoforum, 122, 174-182. https://doi.org/https://doi.org/10.1016/j.geoforum.2021.04.010</w:t>
            </w:r>
          </w:p>
          <w:p w14:paraId="73D29CAA" w14:textId="77777777" w:rsidR="00576032" w:rsidRPr="00450FB4" w:rsidRDefault="00576032" w:rsidP="00CE69A0">
            <w:pPr>
              <w:widowControl/>
              <w:autoSpaceDE/>
              <w:autoSpaceDN/>
              <w:rPr>
                <w:color w:val="000000"/>
                <w:lang w:eastAsia="en-AU"/>
              </w:rPr>
            </w:pPr>
            <w:hyperlink r:id="rId38" w:tgtFrame="_blank" w:history="1">
              <w:r w:rsidRPr="00450FB4">
                <w:rPr>
                  <w:color w:val="0000FF"/>
                  <w:u w:val="single"/>
                  <w:lang w:eastAsia="en-AU"/>
                </w:rPr>
                <w:t>https://doi.org/10.1016/j.geoforum.2021.04.010</w:t>
              </w:r>
            </w:hyperlink>
          </w:p>
        </w:tc>
        <w:tc>
          <w:tcPr>
            <w:tcW w:w="0" w:type="auto"/>
            <w:vAlign w:val="center"/>
            <w:hideMark/>
          </w:tcPr>
          <w:p w14:paraId="71D1279B" w14:textId="77777777" w:rsidR="00576032" w:rsidRPr="00450FB4" w:rsidRDefault="00576032" w:rsidP="00CE69A0">
            <w:pPr>
              <w:widowControl/>
              <w:autoSpaceDE/>
              <w:autoSpaceDN/>
              <w:rPr>
                <w:lang w:eastAsia="en-AU"/>
              </w:rPr>
            </w:pPr>
          </w:p>
        </w:tc>
      </w:tr>
      <w:tr w:rsidR="00161788" w:rsidRPr="00450FB4" w14:paraId="7D8557B3" w14:textId="77777777" w:rsidTr="00CE69A0">
        <w:trPr>
          <w:tblCellSpacing w:w="5" w:type="dxa"/>
        </w:trPr>
        <w:tc>
          <w:tcPr>
            <w:tcW w:w="0" w:type="auto"/>
            <w:gridSpan w:val="2"/>
            <w:vAlign w:val="center"/>
            <w:hideMark/>
          </w:tcPr>
          <w:p w14:paraId="36ABF290" w14:textId="77777777" w:rsidR="00576032" w:rsidRPr="00450FB4" w:rsidRDefault="00D67080" w:rsidP="00CE69A0">
            <w:pPr>
              <w:widowControl/>
              <w:autoSpaceDE/>
              <w:autoSpaceDN/>
              <w:rPr>
                <w:color w:val="000000"/>
                <w:lang w:eastAsia="en-AU"/>
              </w:rPr>
            </w:pPr>
            <w:r w:rsidRPr="00450FB4">
              <w:rPr>
                <w:color w:val="000000"/>
                <w:lang w:eastAsia="en-AU"/>
              </w:rPr>
              <w:lastRenderedPageBreak/>
              <w:t> </w:t>
            </w:r>
          </w:p>
        </w:tc>
      </w:tr>
      <w:tr w:rsidR="00161788" w:rsidRPr="00450FB4" w14:paraId="5946CB31" w14:textId="77777777" w:rsidTr="00CE69A0">
        <w:trPr>
          <w:tblCellSpacing w:w="5" w:type="dxa"/>
        </w:trPr>
        <w:tc>
          <w:tcPr>
            <w:tcW w:w="4943" w:type="pct"/>
            <w:vAlign w:val="center"/>
            <w:hideMark/>
          </w:tcPr>
          <w:p w14:paraId="7F82629D" w14:textId="77777777" w:rsidR="00576032" w:rsidRPr="00450FB4" w:rsidRDefault="00D67080" w:rsidP="00CE69A0">
            <w:pPr>
              <w:widowControl/>
              <w:autoSpaceDE/>
              <w:autoSpaceDN/>
              <w:rPr>
                <w:color w:val="000000"/>
                <w:lang w:eastAsia="en-AU"/>
              </w:rPr>
            </w:pPr>
            <w:r w:rsidRPr="00450FB4">
              <w:rPr>
                <w:color w:val="000000"/>
                <w:lang w:eastAsia="en-AU"/>
              </w:rPr>
              <w:t xml:space="preserve">Hornuf, L., Klus, M. F., Lohwasser, T. S., &amp; Schwienbacher, A. (2021). How do banks interact with fintech startups? Small Business Economics, 57(3), 1505-1526. </w:t>
            </w:r>
          </w:p>
          <w:p w14:paraId="480E1327" w14:textId="77777777" w:rsidR="00576032" w:rsidRPr="00450FB4" w:rsidRDefault="00576032" w:rsidP="00CE69A0">
            <w:pPr>
              <w:widowControl/>
              <w:autoSpaceDE/>
              <w:autoSpaceDN/>
              <w:rPr>
                <w:color w:val="000000"/>
                <w:lang w:eastAsia="en-AU"/>
              </w:rPr>
            </w:pPr>
            <w:hyperlink r:id="rId39" w:tgtFrame="_blank" w:history="1">
              <w:r w:rsidRPr="00450FB4">
                <w:rPr>
                  <w:color w:val="0000FF"/>
                  <w:u w:val="single"/>
                  <w:lang w:eastAsia="en-AU"/>
                </w:rPr>
                <w:t>https://doi.org/10.1007/s11187-020-00359-3</w:t>
              </w:r>
            </w:hyperlink>
          </w:p>
        </w:tc>
        <w:tc>
          <w:tcPr>
            <w:tcW w:w="0" w:type="auto"/>
            <w:vAlign w:val="center"/>
            <w:hideMark/>
          </w:tcPr>
          <w:p w14:paraId="5F018B38" w14:textId="77777777" w:rsidR="00576032" w:rsidRPr="00450FB4" w:rsidRDefault="00576032" w:rsidP="00CE69A0">
            <w:pPr>
              <w:widowControl/>
              <w:autoSpaceDE/>
              <w:autoSpaceDN/>
              <w:rPr>
                <w:lang w:eastAsia="en-AU"/>
              </w:rPr>
            </w:pPr>
          </w:p>
        </w:tc>
      </w:tr>
      <w:tr w:rsidR="00161788" w:rsidRPr="00450FB4" w14:paraId="468B2355" w14:textId="77777777" w:rsidTr="00CE69A0">
        <w:trPr>
          <w:tblCellSpacing w:w="5" w:type="dxa"/>
        </w:trPr>
        <w:tc>
          <w:tcPr>
            <w:tcW w:w="0" w:type="auto"/>
            <w:gridSpan w:val="2"/>
            <w:vAlign w:val="center"/>
            <w:hideMark/>
          </w:tcPr>
          <w:p w14:paraId="0BEE0D91"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3050ECC" w14:textId="77777777" w:rsidTr="00CE69A0">
        <w:trPr>
          <w:tblCellSpacing w:w="5" w:type="dxa"/>
        </w:trPr>
        <w:tc>
          <w:tcPr>
            <w:tcW w:w="4943" w:type="pct"/>
            <w:vAlign w:val="center"/>
            <w:hideMark/>
          </w:tcPr>
          <w:p w14:paraId="62D73B6F" w14:textId="77777777" w:rsidR="00576032" w:rsidRPr="00450FB4" w:rsidRDefault="00D67080" w:rsidP="00CE69A0">
            <w:pPr>
              <w:widowControl/>
              <w:autoSpaceDE/>
              <w:autoSpaceDN/>
              <w:rPr>
                <w:color w:val="000000"/>
                <w:lang w:eastAsia="en-AU"/>
              </w:rPr>
            </w:pPr>
            <w:r w:rsidRPr="00450FB4">
              <w:rPr>
                <w:color w:val="000000"/>
                <w:lang w:eastAsia="en-AU"/>
              </w:rPr>
              <w:t xml:space="preserve">Hughes, J. P., Jagtiani, J., &amp; Moon, C. G. (2022). Consumer lending efficiency: commercial banks versus a fintech lender. Financial Innovation, 8(1), 1-39. </w:t>
            </w:r>
          </w:p>
          <w:p w14:paraId="760FFD11" w14:textId="77777777" w:rsidR="00576032" w:rsidRPr="00450FB4" w:rsidRDefault="00576032" w:rsidP="00CE69A0">
            <w:pPr>
              <w:widowControl/>
              <w:autoSpaceDE/>
              <w:autoSpaceDN/>
              <w:rPr>
                <w:color w:val="000000"/>
                <w:lang w:eastAsia="en-AU"/>
              </w:rPr>
            </w:pPr>
            <w:hyperlink r:id="rId40" w:tgtFrame="_blank" w:history="1">
              <w:r w:rsidRPr="00450FB4">
                <w:rPr>
                  <w:color w:val="0000FF"/>
                  <w:u w:val="single"/>
                  <w:lang w:eastAsia="en-AU"/>
                </w:rPr>
                <w:t>https://doi.org/10.1186/s40854-021-00326-1</w:t>
              </w:r>
            </w:hyperlink>
          </w:p>
        </w:tc>
        <w:tc>
          <w:tcPr>
            <w:tcW w:w="0" w:type="auto"/>
            <w:vAlign w:val="center"/>
            <w:hideMark/>
          </w:tcPr>
          <w:p w14:paraId="5E6C7D05" w14:textId="77777777" w:rsidR="00576032" w:rsidRPr="00450FB4" w:rsidRDefault="00576032" w:rsidP="00CE69A0">
            <w:pPr>
              <w:widowControl/>
              <w:autoSpaceDE/>
              <w:autoSpaceDN/>
              <w:rPr>
                <w:lang w:eastAsia="en-AU"/>
              </w:rPr>
            </w:pPr>
          </w:p>
        </w:tc>
      </w:tr>
      <w:tr w:rsidR="00161788" w:rsidRPr="00450FB4" w14:paraId="73A0AD11" w14:textId="77777777" w:rsidTr="00CE69A0">
        <w:trPr>
          <w:tblCellSpacing w:w="5" w:type="dxa"/>
        </w:trPr>
        <w:tc>
          <w:tcPr>
            <w:tcW w:w="0" w:type="auto"/>
            <w:gridSpan w:val="2"/>
            <w:vAlign w:val="center"/>
            <w:hideMark/>
          </w:tcPr>
          <w:p w14:paraId="741563C0"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0AFDBB0" w14:textId="77777777" w:rsidTr="00CE69A0">
        <w:trPr>
          <w:tblCellSpacing w:w="5" w:type="dxa"/>
        </w:trPr>
        <w:tc>
          <w:tcPr>
            <w:tcW w:w="4943" w:type="pct"/>
            <w:vAlign w:val="center"/>
            <w:hideMark/>
          </w:tcPr>
          <w:p w14:paraId="761C60BB" w14:textId="77777777" w:rsidR="00576032" w:rsidRPr="00450FB4" w:rsidRDefault="00D67080" w:rsidP="00CE69A0">
            <w:pPr>
              <w:widowControl/>
              <w:autoSpaceDE/>
              <w:autoSpaceDN/>
              <w:rPr>
                <w:color w:val="000000"/>
                <w:lang w:eastAsia="en-AU"/>
              </w:rPr>
            </w:pPr>
            <w:r w:rsidRPr="00450FB4">
              <w:rPr>
                <w:color w:val="000000"/>
                <w:lang w:eastAsia="en-AU"/>
              </w:rPr>
              <w:t xml:space="preserve">Jain, P., Vyas, V., &amp; Roy, A. (2013). A study on weak form of market efficiency during the period of global financial crisis in the form of random walk on Indian capital market. Journal of Advances in Management Research, 10(1), 122-138. </w:t>
            </w:r>
          </w:p>
          <w:p w14:paraId="39B7D401" w14:textId="77777777" w:rsidR="00576032" w:rsidRPr="00450FB4" w:rsidRDefault="00576032" w:rsidP="00CE69A0">
            <w:pPr>
              <w:widowControl/>
              <w:autoSpaceDE/>
              <w:autoSpaceDN/>
              <w:rPr>
                <w:color w:val="000000"/>
                <w:lang w:eastAsia="en-AU"/>
              </w:rPr>
            </w:pPr>
            <w:hyperlink r:id="rId41" w:tgtFrame="_blank" w:history="1">
              <w:r w:rsidRPr="00450FB4">
                <w:rPr>
                  <w:color w:val="0000FF"/>
                  <w:u w:val="single"/>
                  <w:lang w:eastAsia="en-AU"/>
                </w:rPr>
                <w:t>https://doi.org/10.1108/09727981311327802</w:t>
              </w:r>
            </w:hyperlink>
          </w:p>
        </w:tc>
        <w:tc>
          <w:tcPr>
            <w:tcW w:w="0" w:type="auto"/>
            <w:vAlign w:val="center"/>
            <w:hideMark/>
          </w:tcPr>
          <w:p w14:paraId="5C4CFDC2" w14:textId="77777777" w:rsidR="00576032" w:rsidRPr="00450FB4" w:rsidRDefault="00576032" w:rsidP="00CE69A0">
            <w:pPr>
              <w:widowControl/>
              <w:autoSpaceDE/>
              <w:autoSpaceDN/>
              <w:rPr>
                <w:lang w:eastAsia="en-AU"/>
              </w:rPr>
            </w:pPr>
          </w:p>
        </w:tc>
      </w:tr>
      <w:tr w:rsidR="00161788" w:rsidRPr="00450FB4" w14:paraId="1A2FFF2E" w14:textId="77777777" w:rsidTr="00CE69A0">
        <w:trPr>
          <w:tblCellSpacing w:w="5" w:type="dxa"/>
        </w:trPr>
        <w:tc>
          <w:tcPr>
            <w:tcW w:w="0" w:type="auto"/>
            <w:gridSpan w:val="2"/>
            <w:vAlign w:val="center"/>
            <w:hideMark/>
          </w:tcPr>
          <w:p w14:paraId="458BAB1B"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7497A48" w14:textId="77777777" w:rsidTr="00CE69A0">
        <w:trPr>
          <w:tblCellSpacing w:w="5" w:type="dxa"/>
        </w:trPr>
        <w:tc>
          <w:tcPr>
            <w:tcW w:w="4943" w:type="pct"/>
            <w:vAlign w:val="center"/>
            <w:hideMark/>
          </w:tcPr>
          <w:p w14:paraId="3E5D4F6B" w14:textId="77777777" w:rsidR="00576032" w:rsidRPr="00450FB4" w:rsidRDefault="00D67080" w:rsidP="00CE69A0">
            <w:pPr>
              <w:widowControl/>
              <w:autoSpaceDE/>
              <w:autoSpaceDN/>
              <w:rPr>
                <w:color w:val="000000"/>
                <w:lang w:eastAsia="en-AU"/>
              </w:rPr>
            </w:pPr>
            <w:r w:rsidRPr="00450FB4">
              <w:rPr>
                <w:color w:val="000000"/>
                <w:lang w:eastAsia="en-AU"/>
              </w:rPr>
              <w:t>Jay barney. (1991). Firm Resources and Sustained Competitive Advantage. Journal of Management, 17(1), 99-120.</w:t>
            </w:r>
          </w:p>
          <w:p w14:paraId="1CBC8F32" w14:textId="77777777" w:rsidR="00576032" w:rsidRPr="00450FB4" w:rsidRDefault="00576032" w:rsidP="00CE69A0">
            <w:pPr>
              <w:widowControl/>
              <w:autoSpaceDE/>
              <w:autoSpaceDN/>
              <w:rPr>
                <w:color w:val="000000"/>
                <w:lang w:eastAsia="en-AU"/>
              </w:rPr>
            </w:pPr>
            <w:hyperlink r:id="rId42" w:tgtFrame="_blank" w:history="1">
              <w:r w:rsidRPr="00450FB4">
                <w:rPr>
                  <w:color w:val="0000FF"/>
                  <w:u w:val="single"/>
                  <w:lang w:eastAsia="en-AU"/>
                </w:rPr>
                <w:t>https://doi.org/10.1177/014920639101700108</w:t>
              </w:r>
            </w:hyperlink>
          </w:p>
        </w:tc>
        <w:tc>
          <w:tcPr>
            <w:tcW w:w="0" w:type="auto"/>
            <w:vAlign w:val="center"/>
            <w:hideMark/>
          </w:tcPr>
          <w:p w14:paraId="08CE240B" w14:textId="77777777" w:rsidR="00576032" w:rsidRPr="00450FB4" w:rsidRDefault="00576032" w:rsidP="00CE69A0">
            <w:pPr>
              <w:widowControl/>
              <w:autoSpaceDE/>
              <w:autoSpaceDN/>
              <w:rPr>
                <w:lang w:eastAsia="en-AU"/>
              </w:rPr>
            </w:pPr>
          </w:p>
        </w:tc>
      </w:tr>
      <w:tr w:rsidR="00161788" w:rsidRPr="00450FB4" w14:paraId="579D912E" w14:textId="77777777" w:rsidTr="00CE69A0">
        <w:trPr>
          <w:tblCellSpacing w:w="5" w:type="dxa"/>
        </w:trPr>
        <w:tc>
          <w:tcPr>
            <w:tcW w:w="0" w:type="auto"/>
            <w:gridSpan w:val="2"/>
            <w:vAlign w:val="center"/>
            <w:hideMark/>
          </w:tcPr>
          <w:p w14:paraId="08E51685"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647DB06" w14:textId="77777777" w:rsidTr="00CE69A0">
        <w:trPr>
          <w:tblCellSpacing w:w="5" w:type="dxa"/>
        </w:trPr>
        <w:tc>
          <w:tcPr>
            <w:tcW w:w="4943" w:type="pct"/>
            <w:vAlign w:val="center"/>
            <w:hideMark/>
          </w:tcPr>
          <w:p w14:paraId="52D779A3" w14:textId="77777777" w:rsidR="00576032" w:rsidRPr="00450FB4" w:rsidRDefault="00D67080" w:rsidP="00CE69A0">
            <w:pPr>
              <w:widowControl/>
              <w:autoSpaceDE/>
              <w:autoSpaceDN/>
              <w:rPr>
                <w:color w:val="000000"/>
                <w:lang w:eastAsia="en-AU"/>
              </w:rPr>
            </w:pPr>
            <w:r w:rsidRPr="00450FB4">
              <w:rPr>
                <w:color w:val="000000"/>
                <w:lang w:eastAsia="en-AU"/>
              </w:rPr>
              <w:t>Jethwani, K., &amp; Achuthan, S. (2013). Stock market efficiency and crisis: Evidence from India. Asia - Pacific Finance and Accounting Review, 1(2), 35-43.</w:t>
            </w:r>
          </w:p>
        </w:tc>
        <w:tc>
          <w:tcPr>
            <w:tcW w:w="0" w:type="auto"/>
            <w:vAlign w:val="center"/>
            <w:hideMark/>
          </w:tcPr>
          <w:p w14:paraId="2F623995" w14:textId="77777777" w:rsidR="00576032" w:rsidRPr="00450FB4" w:rsidRDefault="00576032" w:rsidP="00CE69A0">
            <w:pPr>
              <w:widowControl/>
              <w:autoSpaceDE/>
              <w:autoSpaceDN/>
              <w:rPr>
                <w:lang w:eastAsia="en-AU"/>
              </w:rPr>
            </w:pPr>
          </w:p>
        </w:tc>
      </w:tr>
      <w:tr w:rsidR="00161788" w:rsidRPr="00450FB4" w14:paraId="3CB7012F" w14:textId="77777777" w:rsidTr="00CE69A0">
        <w:trPr>
          <w:tblCellSpacing w:w="5" w:type="dxa"/>
        </w:trPr>
        <w:tc>
          <w:tcPr>
            <w:tcW w:w="0" w:type="auto"/>
            <w:gridSpan w:val="2"/>
            <w:vAlign w:val="center"/>
            <w:hideMark/>
          </w:tcPr>
          <w:p w14:paraId="6DAA6379"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915EA69" w14:textId="77777777" w:rsidTr="00CE69A0">
        <w:trPr>
          <w:tblCellSpacing w:w="5" w:type="dxa"/>
        </w:trPr>
        <w:tc>
          <w:tcPr>
            <w:tcW w:w="4943" w:type="pct"/>
            <w:vAlign w:val="center"/>
            <w:hideMark/>
          </w:tcPr>
          <w:p w14:paraId="53B53506" w14:textId="77777777" w:rsidR="00576032" w:rsidRPr="00450FB4" w:rsidRDefault="00D67080" w:rsidP="00CE69A0">
            <w:pPr>
              <w:widowControl/>
              <w:autoSpaceDE/>
              <w:autoSpaceDN/>
              <w:rPr>
                <w:color w:val="000000"/>
                <w:lang w:eastAsia="en-AU"/>
              </w:rPr>
            </w:pPr>
            <w:r w:rsidRPr="00450FB4">
              <w:rPr>
                <w:color w:val="000000"/>
                <w:lang w:eastAsia="en-AU"/>
              </w:rPr>
              <w:t xml:space="preserve">Kohers, N., &amp; Kohers, T. (2000). The Value Creation Potential of High-Tech Mergers. Financial Analysts Journal, 56(3), 40-51. </w:t>
            </w:r>
            <w:hyperlink r:id="rId43" w:tgtFrame="_blank" w:history="1">
              <w:r w:rsidR="00576032" w:rsidRPr="00450FB4">
                <w:rPr>
                  <w:color w:val="0000FF"/>
                  <w:u w:val="single"/>
                  <w:lang w:eastAsia="en-AU"/>
                </w:rPr>
                <w:t>https://doi.org/10.2469/faj.v56.n3.2359</w:t>
              </w:r>
            </w:hyperlink>
          </w:p>
        </w:tc>
        <w:tc>
          <w:tcPr>
            <w:tcW w:w="0" w:type="auto"/>
            <w:vAlign w:val="center"/>
            <w:hideMark/>
          </w:tcPr>
          <w:p w14:paraId="69C015EC" w14:textId="77777777" w:rsidR="00576032" w:rsidRPr="00450FB4" w:rsidRDefault="00576032" w:rsidP="00CE69A0">
            <w:pPr>
              <w:widowControl/>
              <w:autoSpaceDE/>
              <w:autoSpaceDN/>
              <w:rPr>
                <w:lang w:eastAsia="en-AU"/>
              </w:rPr>
            </w:pPr>
          </w:p>
        </w:tc>
      </w:tr>
      <w:tr w:rsidR="00161788" w:rsidRPr="00450FB4" w14:paraId="13039146" w14:textId="77777777" w:rsidTr="00CE69A0">
        <w:trPr>
          <w:tblCellSpacing w:w="5" w:type="dxa"/>
        </w:trPr>
        <w:tc>
          <w:tcPr>
            <w:tcW w:w="0" w:type="auto"/>
            <w:gridSpan w:val="2"/>
            <w:vAlign w:val="center"/>
            <w:hideMark/>
          </w:tcPr>
          <w:p w14:paraId="28CE724C"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79D9CD4" w14:textId="77777777" w:rsidTr="00CE69A0">
        <w:trPr>
          <w:tblCellSpacing w:w="5" w:type="dxa"/>
        </w:trPr>
        <w:tc>
          <w:tcPr>
            <w:tcW w:w="4943" w:type="pct"/>
            <w:vAlign w:val="center"/>
            <w:hideMark/>
          </w:tcPr>
          <w:p w14:paraId="0AE8DEBC" w14:textId="77777777" w:rsidR="00576032" w:rsidRPr="00450FB4" w:rsidRDefault="00D67080" w:rsidP="00CE69A0">
            <w:pPr>
              <w:widowControl/>
              <w:autoSpaceDE/>
              <w:autoSpaceDN/>
              <w:rPr>
                <w:color w:val="000000"/>
                <w:lang w:eastAsia="en-AU"/>
              </w:rPr>
            </w:pPr>
            <w:r w:rsidRPr="00450FB4">
              <w:rPr>
                <w:color w:val="000000"/>
                <w:lang w:eastAsia="en-AU"/>
              </w:rPr>
              <w:t xml:space="preserve">Liu, Y., Saleem, S., Shabbir, R., Shabbir, M. S., Irshad, A., &amp; Khan, S. (2021). The relationship between corporate social responsibility and financial performance: a moderate role of fintech technology. Environmental Science and Pollution Research, 28(16), 20174-20187. </w:t>
            </w:r>
            <w:hyperlink r:id="rId44" w:tgtFrame="_blank" w:history="1">
              <w:r w:rsidR="00576032" w:rsidRPr="00450FB4">
                <w:rPr>
                  <w:color w:val="0000FF"/>
                  <w:u w:val="single"/>
                  <w:lang w:eastAsia="en-AU"/>
                </w:rPr>
                <w:t>https://doi.org/10.1007/s11356-020-11822-9</w:t>
              </w:r>
            </w:hyperlink>
          </w:p>
        </w:tc>
        <w:tc>
          <w:tcPr>
            <w:tcW w:w="0" w:type="auto"/>
            <w:vAlign w:val="center"/>
            <w:hideMark/>
          </w:tcPr>
          <w:p w14:paraId="22B57D88" w14:textId="77777777" w:rsidR="00576032" w:rsidRPr="00450FB4" w:rsidRDefault="00576032" w:rsidP="00CE69A0">
            <w:pPr>
              <w:widowControl/>
              <w:autoSpaceDE/>
              <w:autoSpaceDN/>
              <w:rPr>
                <w:lang w:eastAsia="en-AU"/>
              </w:rPr>
            </w:pPr>
          </w:p>
        </w:tc>
      </w:tr>
      <w:tr w:rsidR="00161788" w:rsidRPr="00450FB4" w14:paraId="73A31229" w14:textId="77777777" w:rsidTr="00CE69A0">
        <w:trPr>
          <w:tblCellSpacing w:w="5" w:type="dxa"/>
        </w:trPr>
        <w:tc>
          <w:tcPr>
            <w:tcW w:w="0" w:type="auto"/>
            <w:gridSpan w:val="2"/>
            <w:vAlign w:val="center"/>
            <w:hideMark/>
          </w:tcPr>
          <w:p w14:paraId="6496435C"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DA65CFE" w14:textId="77777777" w:rsidTr="00CE69A0">
        <w:trPr>
          <w:tblCellSpacing w:w="5" w:type="dxa"/>
        </w:trPr>
        <w:tc>
          <w:tcPr>
            <w:tcW w:w="4943" w:type="pct"/>
            <w:vAlign w:val="center"/>
            <w:hideMark/>
          </w:tcPr>
          <w:p w14:paraId="51FCA4C2" w14:textId="77777777" w:rsidR="00576032" w:rsidRPr="00450FB4" w:rsidRDefault="00D67080" w:rsidP="00CE69A0">
            <w:pPr>
              <w:widowControl/>
              <w:autoSpaceDE/>
              <w:autoSpaceDN/>
              <w:rPr>
                <w:color w:val="000000"/>
                <w:lang w:eastAsia="en-AU"/>
              </w:rPr>
            </w:pPr>
            <w:r w:rsidRPr="00450FB4">
              <w:rPr>
                <w:color w:val="000000"/>
                <w:lang w:eastAsia="en-AU"/>
              </w:rPr>
              <w:t>Mahoney, J. T., &amp; Pandian, J. R. (1992). The Resource-Based View Within the Conversation of Strategic Management. In Management Journal (Vol. 13, Issue 5). https://about.jstor.org/terms</w:t>
            </w:r>
          </w:p>
          <w:p w14:paraId="644975AD" w14:textId="77777777" w:rsidR="00576032" w:rsidRPr="00450FB4" w:rsidRDefault="00576032" w:rsidP="00CE69A0">
            <w:pPr>
              <w:widowControl/>
              <w:autoSpaceDE/>
              <w:autoSpaceDN/>
              <w:rPr>
                <w:color w:val="000000"/>
                <w:lang w:eastAsia="en-AU"/>
              </w:rPr>
            </w:pPr>
            <w:hyperlink r:id="rId45" w:tgtFrame="_blank" w:history="1">
              <w:r w:rsidRPr="00450FB4">
                <w:rPr>
                  <w:color w:val="0000FF"/>
                  <w:u w:val="single"/>
                  <w:lang w:eastAsia="en-AU"/>
                </w:rPr>
                <w:t>https://doi.org/10.1002/smj.4250130505</w:t>
              </w:r>
            </w:hyperlink>
          </w:p>
        </w:tc>
        <w:tc>
          <w:tcPr>
            <w:tcW w:w="0" w:type="auto"/>
            <w:vAlign w:val="center"/>
            <w:hideMark/>
          </w:tcPr>
          <w:p w14:paraId="71344776" w14:textId="77777777" w:rsidR="00576032" w:rsidRPr="00450FB4" w:rsidRDefault="00576032" w:rsidP="00CE69A0">
            <w:pPr>
              <w:widowControl/>
              <w:autoSpaceDE/>
              <w:autoSpaceDN/>
              <w:rPr>
                <w:lang w:eastAsia="en-AU"/>
              </w:rPr>
            </w:pPr>
          </w:p>
        </w:tc>
      </w:tr>
      <w:tr w:rsidR="00161788" w:rsidRPr="00450FB4" w14:paraId="30621160" w14:textId="77777777" w:rsidTr="00CE69A0">
        <w:trPr>
          <w:tblCellSpacing w:w="5" w:type="dxa"/>
        </w:trPr>
        <w:tc>
          <w:tcPr>
            <w:tcW w:w="0" w:type="auto"/>
            <w:gridSpan w:val="2"/>
            <w:vAlign w:val="center"/>
            <w:hideMark/>
          </w:tcPr>
          <w:p w14:paraId="724A8876"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992596F" w14:textId="77777777" w:rsidTr="00CE69A0">
        <w:trPr>
          <w:tblCellSpacing w:w="5" w:type="dxa"/>
        </w:trPr>
        <w:tc>
          <w:tcPr>
            <w:tcW w:w="4943" w:type="pct"/>
            <w:vAlign w:val="center"/>
            <w:hideMark/>
          </w:tcPr>
          <w:p w14:paraId="3D41691D" w14:textId="77777777" w:rsidR="00576032" w:rsidRPr="00450FB4" w:rsidRDefault="00D67080" w:rsidP="00CE69A0">
            <w:pPr>
              <w:widowControl/>
              <w:autoSpaceDE/>
              <w:autoSpaceDN/>
              <w:rPr>
                <w:color w:val="000000"/>
                <w:lang w:eastAsia="en-AU"/>
              </w:rPr>
            </w:pPr>
            <w:r w:rsidRPr="00450FB4">
              <w:rPr>
                <w:color w:val="000000"/>
                <w:lang w:eastAsia="en-AU"/>
              </w:rPr>
              <w:t>Mallikarjunappa, T.Dsouza, J. J. (2013). A Study of Semi-Strong Form of Market Efficiency of Indian Stock Market. Amity Global Business Review, 8(February 2013), 60-69.</w:t>
            </w:r>
          </w:p>
        </w:tc>
        <w:tc>
          <w:tcPr>
            <w:tcW w:w="0" w:type="auto"/>
            <w:vAlign w:val="center"/>
            <w:hideMark/>
          </w:tcPr>
          <w:p w14:paraId="116A6431" w14:textId="77777777" w:rsidR="00576032" w:rsidRPr="00450FB4" w:rsidRDefault="00576032" w:rsidP="00CE69A0">
            <w:pPr>
              <w:widowControl/>
              <w:autoSpaceDE/>
              <w:autoSpaceDN/>
              <w:rPr>
                <w:lang w:eastAsia="en-AU"/>
              </w:rPr>
            </w:pPr>
          </w:p>
        </w:tc>
      </w:tr>
      <w:tr w:rsidR="00161788" w:rsidRPr="00450FB4" w14:paraId="799D8325" w14:textId="77777777" w:rsidTr="00CE69A0">
        <w:trPr>
          <w:tblCellSpacing w:w="5" w:type="dxa"/>
        </w:trPr>
        <w:tc>
          <w:tcPr>
            <w:tcW w:w="0" w:type="auto"/>
            <w:gridSpan w:val="2"/>
            <w:vAlign w:val="center"/>
            <w:hideMark/>
          </w:tcPr>
          <w:p w14:paraId="3E7DC28D"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8A54DEA" w14:textId="77777777" w:rsidTr="00CE69A0">
        <w:trPr>
          <w:tblCellSpacing w:w="5" w:type="dxa"/>
        </w:trPr>
        <w:tc>
          <w:tcPr>
            <w:tcW w:w="4943" w:type="pct"/>
            <w:vAlign w:val="center"/>
            <w:hideMark/>
          </w:tcPr>
          <w:p w14:paraId="2ABD202C" w14:textId="77777777" w:rsidR="00576032" w:rsidRPr="00450FB4" w:rsidRDefault="00D67080" w:rsidP="00CE69A0">
            <w:pPr>
              <w:widowControl/>
              <w:autoSpaceDE/>
              <w:autoSpaceDN/>
              <w:rPr>
                <w:color w:val="000000"/>
                <w:lang w:eastAsia="en-AU"/>
              </w:rPr>
            </w:pPr>
            <w:r w:rsidRPr="00450FB4">
              <w:rPr>
                <w:color w:val="000000"/>
                <w:lang w:eastAsia="en-AU"/>
              </w:rPr>
              <w:t xml:space="preserve">Mittal, S. K., &amp; Jain, S. (2009). Stock Market Behaviour: Evidences from Indian Market. Vision: The Journal of Business Perspective, 13(3), 19-29. </w:t>
            </w:r>
          </w:p>
          <w:p w14:paraId="34880A08" w14:textId="77777777" w:rsidR="00576032" w:rsidRPr="00450FB4" w:rsidRDefault="00576032" w:rsidP="00CE69A0">
            <w:pPr>
              <w:widowControl/>
              <w:autoSpaceDE/>
              <w:autoSpaceDN/>
              <w:rPr>
                <w:color w:val="000000"/>
                <w:lang w:eastAsia="en-AU"/>
              </w:rPr>
            </w:pPr>
            <w:hyperlink r:id="rId46" w:tgtFrame="_blank" w:history="1">
              <w:r w:rsidRPr="00450FB4">
                <w:rPr>
                  <w:color w:val="0000FF"/>
                  <w:u w:val="single"/>
                  <w:lang w:eastAsia="en-AU"/>
                </w:rPr>
                <w:t>https://doi.org/10.1177/097226290901300302</w:t>
              </w:r>
            </w:hyperlink>
          </w:p>
        </w:tc>
        <w:tc>
          <w:tcPr>
            <w:tcW w:w="0" w:type="auto"/>
            <w:vAlign w:val="center"/>
            <w:hideMark/>
          </w:tcPr>
          <w:p w14:paraId="61F5AAC6" w14:textId="77777777" w:rsidR="00576032" w:rsidRPr="00450FB4" w:rsidRDefault="00576032" w:rsidP="00CE69A0">
            <w:pPr>
              <w:widowControl/>
              <w:autoSpaceDE/>
              <w:autoSpaceDN/>
              <w:rPr>
                <w:lang w:eastAsia="en-AU"/>
              </w:rPr>
            </w:pPr>
          </w:p>
        </w:tc>
      </w:tr>
      <w:tr w:rsidR="00161788" w:rsidRPr="00450FB4" w14:paraId="7D1F4295" w14:textId="77777777" w:rsidTr="00CE69A0">
        <w:trPr>
          <w:tblCellSpacing w:w="5" w:type="dxa"/>
        </w:trPr>
        <w:tc>
          <w:tcPr>
            <w:tcW w:w="0" w:type="auto"/>
            <w:gridSpan w:val="2"/>
            <w:vAlign w:val="center"/>
            <w:hideMark/>
          </w:tcPr>
          <w:p w14:paraId="68AAD7A2" w14:textId="77777777" w:rsidR="00576032" w:rsidRPr="00450FB4" w:rsidRDefault="00D67080" w:rsidP="00CE69A0">
            <w:pPr>
              <w:widowControl/>
              <w:autoSpaceDE/>
              <w:autoSpaceDN/>
              <w:rPr>
                <w:color w:val="000000"/>
                <w:lang w:eastAsia="en-AU"/>
              </w:rPr>
            </w:pPr>
            <w:r w:rsidRPr="00450FB4">
              <w:rPr>
                <w:color w:val="000000"/>
                <w:lang w:eastAsia="en-AU"/>
              </w:rPr>
              <w:lastRenderedPageBreak/>
              <w:t> </w:t>
            </w:r>
          </w:p>
        </w:tc>
      </w:tr>
      <w:tr w:rsidR="00161788" w:rsidRPr="00450FB4" w14:paraId="7CD27AED" w14:textId="77777777" w:rsidTr="00CE69A0">
        <w:trPr>
          <w:tblCellSpacing w:w="5" w:type="dxa"/>
        </w:trPr>
        <w:tc>
          <w:tcPr>
            <w:tcW w:w="4943" w:type="pct"/>
            <w:vAlign w:val="center"/>
            <w:hideMark/>
          </w:tcPr>
          <w:p w14:paraId="334A3B13" w14:textId="77777777" w:rsidR="00576032" w:rsidRPr="00450FB4" w:rsidRDefault="00D67080" w:rsidP="00CE69A0">
            <w:pPr>
              <w:widowControl/>
              <w:autoSpaceDE/>
              <w:autoSpaceDN/>
              <w:rPr>
                <w:color w:val="000000"/>
                <w:lang w:eastAsia="en-AU"/>
              </w:rPr>
            </w:pPr>
            <w:r w:rsidRPr="00450FB4">
              <w:rPr>
                <w:color w:val="000000"/>
                <w:lang w:eastAsia="en-AU"/>
              </w:rPr>
              <w:t>Novialdi, F. R., &amp; Wardhani, R. (2019). Cross-border acquisition and financial leverage: the empirical evidence from acquisition in Asia. Meditari Accountancy Research, 28(1), 206-228. https://doi.org/10.1108/MEDAR-12-2018-0413</w:t>
            </w:r>
          </w:p>
          <w:p w14:paraId="41C925F0" w14:textId="77777777" w:rsidR="00576032" w:rsidRPr="00450FB4" w:rsidRDefault="00576032" w:rsidP="00CE69A0">
            <w:pPr>
              <w:widowControl/>
              <w:autoSpaceDE/>
              <w:autoSpaceDN/>
              <w:rPr>
                <w:color w:val="000000"/>
                <w:lang w:eastAsia="en-AU"/>
              </w:rPr>
            </w:pPr>
            <w:hyperlink r:id="rId47" w:tgtFrame="_blank" w:history="1">
              <w:r w:rsidRPr="00450FB4">
                <w:rPr>
                  <w:color w:val="0000FF"/>
                  <w:u w:val="single"/>
                  <w:lang w:eastAsia="en-AU"/>
                </w:rPr>
                <w:t>https://doi.org/10.1108/MEDAR-12-2018-0413</w:t>
              </w:r>
            </w:hyperlink>
          </w:p>
        </w:tc>
        <w:tc>
          <w:tcPr>
            <w:tcW w:w="0" w:type="auto"/>
            <w:vAlign w:val="center"/>
            <w:hideMark/>
          </w:tcPr>
          <w:p w14:paraId="5CC14074" w14:textId="77777777" w:rsidR="00576032" w:rsidRPr="00450FB4" w:rsidRDefault="00576032" w:rsidP="00CE69A0">
            <w:pPr>
              <w:widowControl/>
              <w:autoSpaceDE/>
              <w:autoSpaceDN/>
              <w:rPr>
                <w:lang w:eastAsia="en-AU"/>
              </w:rPr>
            </w:pPr>
          </w:p>
        </w:tc>
      </w:tr>
      <w:tr w:rsidR="00161788" w:rsidRPr="00450FB4" w14:paraId="1C0B697B" w14:textId="77777777" w:rsidTr="00CE69A0">
        <w:trPr>
          <w:tblCellSpacing w:w="5" w:type="dxa"/>
        </w:trPr>
        <w:tc>
          <w:tcPr>
            <w:tcW w:w="0" w:type="auto"/>
            <w:gridSpan w:val="2"/>
            <w:vAlign w:val="center"/>
            <w:hideMark/>
          </w:tcPr>
          <w:p w14:paraId="31C2DFAB"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94767C4" w14:textId="77777777" w:rsidTr="00CE69A0">
        <w:trPr>
          <w:tblCellSpacing w:w="5" w:type="dxa"/>
        </w:trPr>
        <w:tc>
          <w:tcPr>
            <w:tcW w:w="4943" w:type="pct"/>
            <w:vAlign w:val="center"/>
            <w:hideMark/>
          </w:tcPr>
          <w:p w14:paraId="7CDA5CA9" w14:textId="77777777" w:rsidR="00576032" w:rsidRPr="00450FB4" w:rsidRDefault="00D67080" w:rsidP="00CE69A0">
            <w:pPr>
              <w:widowControl/>
              <w:autoSpaceDE/>
              <w:autoSpaceDN/>
              <w:rPr>
                <w:color w:val="000000"/>
                <w:lang w:eastAsia="en-AU"/>
              </w:rPr>
            </w:pPr>
            <w:r w:rsidRPr="00450FB4">
              <w:rPr>
                <w:color w:val="000000"/>
                <w:lang w:eastAsia="en-AU"/>
              </w:rPr>
              <w:t xml:space="preserve">Oberoi, V., &amp; Dharni, K. (2024). FinTech Startups in India (pp. 121-145). </w:t>
            </w:r>
            <w:hyperlink r:id="rId48" w:tgtFrame="_blank" w:history="1">
              <w:r w:rsidR="00576032" w:rsidRPr="00450FB4">
                <w:rPr>
                  <w:color w:val="0000FF"/>
                  <w:u w:val="single"/>
                  <w:lang w:eastAsia="en-AU"/>
                </w:rPr>
                <w:t>https://doi.org/10.4018/979-8-3693-2061-7.ch006</w:t>
              </w:r>
            </w:hyperlink>
          </w:p>
        </w:tc>
        <w:tc>
          <w:tcPr>
            <w:tcW w:w="0" w:type="auto"/>
            <w:vAlign w:val="center"/>
            <w:hideMark/>
          </w:tcPr>
          <w:p w14:paraId="6021BC73" w14:textId="77777777" w:rsidR="00576032" w:rsidRPr="00450FB4" w:rsidRDefault="00576032" w:rsidP="00CE69A0">
            <w:pPr>
              <w:widowControl/>
              <w:autoSpaceDE/>
              <w:autoSpaceDN/>
              <w:rPr>
                <w:lang w:eastAsia="en-AU"/>
              </w:rPr>
            </w:pPr>
          </w:p>
        </w:tc>
      </w:tr>
      <w:tr w:rsidR="00161788" w:rsidRPr="00450FB4" w14:paraId="0F61C2F7" w14:textId="77777777" w:rsidTr="00CE69A0">
        <w:trPr>
          <w:tblCellSpacing w:w="5" w:type="dxa"/>
        </w:trPr>
        <w:tc>
          <w:tcPr>
            <w:tcW w:w="0" w:type="auto"/>
            <w:gridSpan w:val="2"/>
            <w:vAlign w:val="center"/>
            <w:hideMark/>
          </w:tcPr>
          <w:p w14:paraId="1364717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0846CA9C" w14:textId="77777777" w:rsidTr="00CE69A0">
        <w:trPr>
          <w:tblCellSpacing w:w="5" w:type="dxa"/>
        </w:trPr>
        <w:tc>
          <w:tcPr>
            <w:tcW w:w="4943" w:type="pct"/>
            <w:vAlign w:val="center"/>
            <w:hideMark/>
          </w:tcPr>
          <w:p w14:paraId="34814450" w14:textId="77777777" w:rsidR="00576032" w:rsidRPr="00450FB4" w:rsidRDefault="00D67080" w:rsidP="00CE69A0">
            <w:pPr>
              <w:widowControl/>
              <w:autoSpaceDE/>
              <w:autoSpaceDN/>
              <w:rPr>
                <w:color w:val="000000"/>
                <w:lang w:eastAsia="en-AU"/>
              </w:rPr>
            </w:pPr>
            <w:r w:rsidRPr="00450FB4">
              <w:rPr>
                <w:color w:val="000000"/>
                <w:lang w:eastAsia="en-AU"/>
              </w:rPr>
              <w:t>Palamalai, S., &amp; Kalaivani, M. (2015). Are Indian stock markets weak-form efficient? - evidence from NSE and BSE sectoral indices. IUP Journal of Financial Risk Management, 12(4), 7-34.</w:t>
            </w:r>
          </w:p>
        </w:tc>
        <w:tc>
          <w:tcPr>
            <w:tcW w:w="0" w:type="auto"/>
            <w:vAlign w:val="center"/>
            <w:hideMark/>
          </w:tcPr>
          <w:p w14:paraId="5E268EF2" w14:textId="77777777" w:rsidR="00576032" w:rsidRPr="00450FB4" w:rsidRDefault="00576032" w:rsidP="00CE69A0">
            <w:pPr>
              <w:widowControl/>
              <w:autoSpaceDE/>
              <w:autoSpaceDN/>
              <w:rPr>
                <w:lang w:eastAsia="en-AU"/>
              </w:rPr>
            </w:pPr>
          </w:p>
        </w:tc>
      </w:tr>
      <w:tr w:rsidR="00161788" w:rsidRPr="00450FB4" w14:paraId="4BF05510" w14:textId="77777777" w:rsidTr="00CE69A0">
        <w:trPr>
          <w:tblCellSpacing w:w="5" w:type="dxa"/>
        </w:trPr>
        <w:tc>
          <w:tcPr>
            <w:tcW w:w="0" w:type="auto"/>
            <w:gridSpan w:val="2"/>
            <w:vAlign w:val="center"/>
            <w:hideMark/>
          </w:tcPr>
          <w:p w14:paraId="1ED77D58"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FC55534" w14:textId="77777777" w:rsidTr="00CE69A0">
        <w:trPr>
          <w:tblCellSpacing w:w="5" w:type="dxa"/>
        </w:trPr>
        <w:tc>
          <w:tcPr>
            <w:tcW w:w="4943" w:type="pct"/>
            <w:vAlign w:val="center"/>
            <w:hideMark/>
          </w:tcPr>
          <w:p w14:paraId="5DFC1436" w14:textId="77777777" w:rsidR="00576032" w:rsidRPr="00450FB4" w:rsidRDefault="00D67080" w:rsidP="00CE69A0">
            <w:pPr>
              <w:widowControl/>
              <w:autoSpaceDE/>
              <w:autoSpaceDN/>
              <w:rPr>
                <w:color w:val="000000"/>
                <w:lang w:eastAsia="en-AU"/>
              </w:rPr>
            </w:pPr>
            <w:r w:rsidRPr="00450FB4">
              <w:rPr>
                <w:color w:val="000000"/>
                <w:lang w:eastAsia="en-AU"/>
              </w:rPr>
              <w:t xml:space="preserve">Phan, D. H. B., Narayan, P. K., Rahman, R. E., &amp; Hutabarat, A. R. (2020). Do financial technology firms influence bank performance? Pacific-Basin Finance Journal, 62, 101210. </w:t>
            </w:r>
          </w:p>
          <w:p w14:paraId="2AA04DCF" w14:textId="77777777" w:rsidR="00576032" w:rsidRPr="00450FB4" w:rsidRDefault="00576032" w:rsidP="00CE69A0">
            <w:pPr>
              <w:widowControl/>
              <w:autoSpaceDE/>
              <w:autoSpaceDN/>
              <w:rPr>
                <w:color w:val="000000"/>
                <w:lang w:eastAsia="en-AU"/>
              </w:rPr>
            </w:pPr>
            <w:hyperlink r:id="rId49" w:tgtFrame="_blank" w:history="1">
              <w:r w:rsidRPr="00450FB4">
                <w:rPr>
                  <w:color w:val="0000FF"/>
                  <w:u w:val="single"/>
                  <w:lang w:eastAsia="en-AU"/>
                </w:rPr>
                <w:t>https://doi.org/10.1016/j.pacfin.2019.101210</w:t>
              </w:r>
            </w:hyperlink>
          </w:p>
        </w:tc>
        <w:tc>
          <w:tcPr>
            <w:tcW w:w="0" w:type="auto"/>
            <w:vAlign w:val="center"/>
            <w:hideMark/>
          </w:tcPr>
          <w:p w14:paraId="62D5D125" w14:textId="77777777" w:rsidR="00576032" w:rsidRPr="00450FB4" w:rsidRDefault="00576032" w:rsidP="00CE69A0">
            <w:pPr>
              <w:widowControl/>
              <w:autoSpaceDE/>
              <w:autoSpaceDN/>
              <w:rPr>
                <w:lang w:eastAsia="en-AU"/>
              </w:rPr>
            </w:pPr>
          </w:p>
        </w:tc>
      </w:tr>
      <w:tr w:rsidR="00161788" w:rsidRPr="00450FB4" w14:paraId="2DF37124" w14:textId="77777777" w:rsidTr="00CE69A0">
        <w:trPr>
          <w:tblCellSpacing w:w="5" w:type="dxa"/>
        </w:trPr>
        <w:tc>
          <w:tcPr>
            <w:tcW w:w="0" w:type="auto"/>
            <w:gridSpan w:val="2"/>
            <w:vAlign w:val="center"/>
            <w:hideMark/>
          </w:tcPr>
          <w:p w14:paraId="106280C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889970B" w14:textId="77777777" w:rsidTr="00CE69A0">
        <w:trPr>
          <w:tblCellSpacing w:w="5" w:type="dxa"/>
        </w:trPr>
        <w:tc>
          <w:tcPr>
            <w:tcW w:w="4943" w:type="pct"/>
            <w:vAlign w:val="center"/>
            <w:hideMark/>
          </w:tcPr>
          <w:p w14:paraId="6F484EE9" w14:textId="77777777" w:rsidR="00576032" w:rsidRPr="00450FB4" w:rsidRDefault="00D67080" w:rsidP="00CE69A0">
            <w:pPr>
              <w:widowControl/>
              <w:autoSpaceDE/>
              <w:autoSpaceDN/>
              <w:rPr>
                <w:color w:val="000000"/>
                <w:lang w:eastAsia="en-AU"/>
              </w:rPr>
            </w:pPr>
            <w:r w:rsidRPr="00450FB4">
              <w:rPr>
                <w:color w:val="000000"/>
                <w:lang w:eastAsia="en-AU"/>
              </w:rPr>
              <w:t>Porter-Millar. (1985). How information gives you a competitive advantage.</w:t>
            </w:r>
          </w:p>
          <w:p w14:paraId="440842DF" w14:textId="77777777" w:rsidR="00576032" w:rsidRPr="00450FB4" w:rsidRDefault="00576032" w:rsidP="00CE69A0">
            <w:pPr>
              <w:widowControl/>
              <w:autoSpaceDE/>
              <w:autoSpaceDN/>
              <w:rPr>
                <w:color w:val="000000"/>
                <w:lang w:eastAsia="en-AU"/>
              </w:rPr>
            </w:pPr>
            <w:hyperlink r:id="rId50" w:tgtFrame="_blank" w:history="1">
              <w:r w:rsidRPr="00450FB4">
                <w:rPr>
                  <w:color w:val="0000FF"/>
                  <w:u w:val="single"/>
                  <w:lang w:eastAsia="en-AU"/>
                </w:rPr>
                <w:t>https://doi.org/10.1108/eb039075</w:t>
              </w:r>
            </w:hyperlink>
          </w:p>
        </w:tc>
        <w:tc>
          <w:tcPr>
            <w:tcW w:w="0" w:type="auto"/>
            <w:vAlign w:val="center"/>
            <w:hideMark/>
          </w:tcPr>
          <w:p w14:paraId="0BFA332A" w14:textId="77777777" w:rsidR="00576032" w:rsidRPr="00450FB4" w:rsidRDefault="00576032" w:rsidP="00CE69A0">
            <w:pPr>
              <w:widowControl/>
              <w:autoSpaceDE/>
              <w:autoSpaceDN/>
              <w:rPr>
                <w:lang w:eastAsia="en-AU"/>
              </w:rPr>
            </w:pPr>
          </w:p>
        </w:tc>
      </w:tr>
      <w:tr w:rsidR="00161788" w:rsidRPr="00450FB4" w14:paraId="1657E63B" w14:textId="77777777" w:rsidTr="00CE69A0">
        <w:trPr>
          <w:tblCellSpacing w:w="5" w:type="dxa"/>
        </w:trPr>
        <w:tc>
          <w:tcPr>
            <w:tcW w:w="0" w:type="auto"/>
            <w:gridSpan w:val="2"/>
            <w:vAlign w:val="center"/>
            <w:hideMark/>
          </w:tcPr>
          <w:p w14:paraId="71745117"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84F3B49" w14:textId="77777777" w:rsidTr="00CE69A0">
        <w:trPr>
          <w:tblCellSpacing w:w="5" w:type="dxa"/>
        </w:trPr>
        <w:tc>
          <w:tcPr>
            <w:tcW w:w="4943" w:type="pct"/>
            <w:vAlign w:val="center"/>
            <w:hideMark/>
          </w:tcPr>
          <w:p w14:paraId="4528171C" w14:textId="77777777" w:rsidR="00576032" w:rsidRPr="00450FB4" w:rsidRDefault="00D67080" w:rsidP="00CE69A0">
            <w:pPr>
              <w:widowControl/>
              <w:autoSpaceDE/>
              <w:autoSpaceDN/>
              <w:rPr>
                <w:color w:val="000000"/>
                <w:lang w:eastAsia="en-AU"/>
              </w:rPr>
            </w:pPr>
            <w:r w:rsidRPr="00450FB4">
              <w:rPr>
                <w:color w:val="000000"/>
                <w:lang w:eastAsia="en-AU"/>
              </w:rPr>
              <w:t xml:space="preserve">Puschmann, T. (2017). Fintech. Business &amp; Information Systems Engineering, 59(1), 69-76. </w:t>
            </w:r>
          </w:p>
          <w:p w14:paraId="2E0B776C" w14:textId="77777777" w:rsidR="00576032" w:rsidRPr="00450FB4" w:rsidRDefault="00576032" w:rsidP="00CE69A0">
            <w:pPr>
              <w:widowControl/>
              <w:autoSpaceDE/>
              <w:autoSpaceDN/>
              <w:rPr>
                <w:color w:val="000000"/>
                <w:lang w:eastAsia="en-AU"/>
              </w:rPr>
            </w:pPr>
            <w:hyperlink r:id="rId51" w:tgtFrame="_blank" w:history="1">
              <w:r w:rsidRPr="00450FB4">
                <w:rPr>
                  <w:color w:val="0000FF"/>
                  <w:u w:val="single"/>
                  <w:lang w:eastAsia="en-AU"/>
                </w:rPr>
                <w:t>https://doi.org/10.1007/s12599-017-0464-6</w:t>
              </w:r>
            </w:hyperlink>
          </w:p>
        </w:tc>
        <w:tc>
          <w:tcPr>
            <w:tcW w:w="0" w:type="auto"/>
            <w:vAlign w:val="center"/>
            <w:hideMark/>
          </w:tcPr>
          <w:p w14:paraId="08F13371" w14:textId="77777777" w:rsidR="00576032" w:rsidRPr="00450FB4" w:rsidRDefault="00576032" w:rsidP="00CE69A0">
            <w:pPr>
              <w:widowControl/>
              <w:autoSpaceDE/>
              <w:autoSpaceDN/>
              <w:rPr>
                <w:lang w:eastAsia="en-AU"/>
              </w:rPr>
            </w:pPr>
          </w:p>
        </w:tc>
      </w:tr>
      <w:tr w:rsidR="00161788" w:rsidRPr="00450FB4" w14:paraId="238DDAF6" w14:textId="77777777" w:rsidTr="00CE69A0">
        <w:trPr>
          <w:tblCellSpacing w:w="5" w:type="dxa"/>
        </w:trPr>
        <w:tc>
          <w:tcPr>
            <w:tcW w:w="0" w:type="auto"/>
            <w:gridSpan w:val="2"/>
            <w:vAlign w:val="center"/>
            <w:hideMark/>
          </w:tcPr>
          <w:p w14:paraId="02A23312"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515A778" w14:textId="77777777" w:rsidTr="00CE69A0">
        <w:trPr>
          <w:tblCellSpacing w:w="5" w:type="dxa"/>
        </w:trPr>
        <w:tc>
          <w:tcPr>
            <w:tcW w:w="4943" w:type="pct"/>
            <w:vAlign w:val="center"/>
            <w:hideMark/>
          </w:tcPr>
          <w:p w14:paraId="1415C34C" w14:textId="77777777" w:rsidR="00576032" w:rsidRPr="00450FB4" w:rsidRDefault="00D67080" w:rsidP="00CE69A0">
            <w:pPr>
              <w:widowControl/>
              <w:autoSpaceDE/>
              <w:autoSpaceDN/>
              <w:rPr>
                <w:color w:val="000000"/>
                <w:lang w:eastAsia="en-AU"/>
              </w:rPr>
            </w:pPr>
            <w:r w:rsidRPr="00450FB4">
              <w:rPr>
                <w:color w:val="000000"/>
                <w:lang w:eastAsia="en-AU"/>
              </w:rPr>
              <w:t xml:space="preserve">Salerno, D., Sampagnaro, G., &amp; Verdoliva, V. (2022). Fintech and IPO underpricing: An explorative study. Finance Research Letters, 44, 102071. </w:t>
            </w:r>
          </w:p>
          <w:p w14:paraId="21F2005F" w14:textId="77777777" w:rsidR="00576032" w:rsidRPr="00450FB4" w:rsidRDefault="00576032" w:rsidP="00CE69A0">
            <w:pPr>
              <w:widowControl/>
              <w:autoSpaceDE/>
              <w:autoSpaceDN/>
              <w:rPr>
                <w:color w:val="000000"/>
                <w:lang w:eastAsia="en-AU"/>
              </w:rPr>
            </w:pPr>
            <w:hyperlink r:id="rId52" w:tgtFrame="_blank" w:history="1">
              <w:r w:rsidRPr="00450FB4">
                <w:rPr>
                  <w:color w:val="0000FF"/>
                  <w:u w:val="single"/>
                  <w:lang w:eastAsia="en-AU"/>
                </w:rPr>
                <w:t>https://doi.org/10.1016/j.frl.2021.102071</w:t>
              </w:r>
            </w:hyperlink>
          </w:p>
        </w:tc>
        <w:tc>
          <w:tcPr>
            <w:tcW w:w="0" w:type="auto"/>
            <w:vAlign w:val="center"/>
            <w:hideMark/>
          </w:tcPr>
          <w:p w14:paraId="5C04F41B" w14:textId="77777777" w:rsidR="00576032" w:rsidRPr="00450FB4" w:rsidRDefault="00576032" w:rsidP="00CE69A0">
            <w:pPr>
              <w:widowControl/>
              <w:autoSpaceDE/>
              <w:autoSpaceDN/>
              <w:rPr>
                <w:lang w:eastAsia="en-AU"/>
              </w:rPr>
            </w:pPr>
          </w:p>
        </w:tc>
      </w:tr>
      <w:tr w:rsidR="00161788" w:rsidRPr="00450FB4" w14:paraId="5CAFCEB1" w14:textId="77777777" w:rsidTr="00CE69A0">
        <w:trPr>
          <w:tblCellSpacing w:w="5" w:type="dxa"/>
        </w:trPr>
        <w:tc>
          <w:tcPr>
            <w:tcW w:w="0" w:type="auto"/>
            <w:gridSpan w:val="2"/>
            <w:vAlign w:val="center"/>
            <w:hideMark/>
          </w:tcPr>
          <w:p w14:paraId="6AC68381"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3916723" w14:textId="77777777" w:rsidTr="00CE69A0">
        <w:trPr>
          <w:tblCellSpacing w:w="5" w:type="dxa"/>
        </w:trPr>
        <w:tc>
          <w:tcPr>
            <w:tcW w:w="4943" w:type="pct"/>
            <w:vAlign w:val="center"/>
            <w:hideMark/>
          </w:tcPr>
          <w:p w14:paraId="5F994C9E" w14:textId="77777777" w:rsidR="00576032" w:rsidRPr="00450FB4" w:rsidRDefault="00D67080" w:rsidP="00CE69A0">
            <w:pPr>
              <w:widowControl/>
              <w:autoSpaceDE/>
              <w:autoSpaceDN/>
              <w:rPr>
                <w:color w:val="000000"/>
                <w:lang w:eastAsia="en-AU"/>
              </w:rPr>
            </w:pPr>
            <w:r w:rsidRPr="00450FB4">
              <w:rPr>
                <w:color w:val="000000"/>
                <w:lang w:eastAsia="en-AU"/>
              </w:rPr>
              <w:t xml:space="preserve">Schueffel, P. (2017a). Taming the Beast: A Scientific Definition of Fintech. Journal of Innovation Management, 4(4), 32-54. </w:t>
            </w:r>
          </w:p>
          <w:p w14:paraId="171D2DF4" w14:textId="77777777" w:rsidR="00576032" w:rsidRPr="00450FB4" w:rsidRDefault="00576032" w:rsidP="00CE69A0">
            <w:pPr>
              <w:widowControl/>
              <w:autoSpaceDE/>
              <w:autoSpaceDN/>
              <w:rPr>
                <w:color w:val="000000"/>
                <w:lang w:eastAsia="en-AU"/>
              </w:rPr>
            </w:pPr>
            <w:hyperlink r:id="rId53" w:tgtFrame="_blank" w:history="1">
              <w:r w:rsidRPr="00450FB4">
                <w:rPr>
                  <w:color w:val="0000FF"/>
                  <w:u w:val="single"/>
                  <w:lang w:eastAsia="en-AU"/>
                </w:rPr>
                <w:t>https://doi.org/10.24840/2183-0606_004.004_0004</w:t>
              </w:r>
            </w:hyperlink>
          </w:p>
        </w:tc>
        <w:tc>
          <w:tcPr>
            <w:tcW w:w="0" w:type="auto"/>
            <w:vAlign w:val="center"/>
            <w:hideMark/>
          </w:tcPr>
          <w:p w14:paraId="5578BA56" w14:textId="77777777" w:rsidR="00576032" w:rsidRPr="00450FB4" w:rsidRDefault="00576032" w:rsidP="00CE69A0">
            <w:pPr>
              <w:widowControl/>
              <w:autoSpaceDE/>
              <w:autoSpaceDN/>
              <w:rPr>
                <w:lang w:eastAsia="en-AU"/>
              </w:rPr>
            </w:pPr>
          </w:p>
        </w:tc>
      </w:tr>
      <w:tr w:rsidR="00161788" w:rsidRPr="00450FB4" w14:paraId="2A43EC44" w14:textId="77777777" w:rsidTr="00CE69A0">
        <w:trPr>
          <w:tblCellSpacing w:w="5" w:type="dxa"/>
        </w:trPr>
        <w:tc>
          <w:tcPr>
            <w:tcW w:w="0" w:type="auto"/>
            <w:gridSpan w:val="2"/>
            <w:vAlign w:val="center"/>
            <w:hideMark/>
          </w:tcPr>
          <w:p w14:paraId="4C2E60C9"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C32C2E0" w14:textId="77777777" w:rsidTr="00CE69A0">
        <w:trPr>
          <w:tblCellSpacing w:w="5" w:type="dxa"/>
        </w:trPr>
        <w:tc>
          <w:tcPr>
            <w:tcW w:w="4943" w:type="pct"/>
            <w:vAlign w:val="center"/>
            <w:hideMark/>
          </w:tcPr>
          <w:p w14:paraId="0ACBC01A" w14:textId="77777777" w:rsidR="00576032" w:rsidRPr="00450FB4" w:rsidRDefault="00D67080" w:rsidP="00CE69A0">
            <w:pPr>
              <w:widowControl/>
              <w:autoSpaceDE/>
              <w:autoSpaceDN/>
              <w:rPr>
                <w:color w:val="000000"/>
                <w:lang w:eastAsia="en-AU"/>
              </w:rPr>
            </w:pPr>
            <w:r w:rsidRPr="00450FB4">
              <w:rPr>
                <w:color w:val="000000"/>
                <w:lang w:eastAsia="en-AU"/>
              </w:rPr>
              <w:t xml:space="preserve">Schueffel, P. (2017b). Taming the Beast: A Scientific Definition of Fintech. Journal of Innovation Management, 4(4), 32-54. </w:t>
            </w:r>
          </w:p>
          <w:p w14:paraId="45955F4A" w14:textId="77777777" w:rsidR="00576032" w:rsidRPr="00450FB4" w:rsidRDefault="00576032" w:rsidP="00CE69A0">
            <w:pPr>
              <w:widowControl/>
              <w:autoSpaceDE/>
              <w:autoSpaceDN/>
              <w:rPr>
                <w:color w:val="000000"/>
                <w:lang w:eastAsia="en-AU"/>
              </w:rPr>
            </w:pPr>
            <w:hyperlink r:id="rId54" w:tgtFrame="_blank" w:history="1">
              <w:r w:rsidRPr="00450FB4">
                <w:rPr>
                  <w:color w:val="0000FF"/>
                  <w:u w:val="single"/>
                  <w:lang w:eastAsia="en-AU"/>
                </w:rPr>
                <w:t>https://doi.org/10.24840/2183-0606_004.004_0004</w:t>
              </w:r>
            </w:hyperlink>
          </w:p>
        </w:tc>
        <w:tc>
          <w:tcPr>
            <w:tcW w:w="0" w:type="auto"/>
            <w:vAlign w:val="center"/>
            <w:hideMark/>
          </w:tcPr>
          <w:p w14:paraId="0E757C6B" w14:textId="77777777" w:rsidR="00576032" w:rsidRPr="00450FB4" w:rsidRDefault="00576032" w:rsidP="00CE69A0">
            <w:pPr>
              <w:widowControl/>
              <w:autoSpaceDE/>
              <w:autoSpaceDN/>
              <w:rPr>
                <w:lang w:eastAsia="en-AU"/>
              </w:rPr>
            </w:pPr>
          </w:p>
        </w:tc>
      </w:tr>
      <w:tr w:rsidR="00161788" w:rsidRPr="00450FB4" w14:paraId="6CF05DBB" w14:textId="77777777" w:rsidTr="00CE69A0">
        <w:trPr>
          <w:tblCellSpacing w:w="5" w:type="dxa"/>
        </w:trPr>
        <w:tc>
          <w:tcPr>
            <w:tcW w:w="0" w:type="auto"/>
            <w:gridSpan w:val="2"/>
            <w:vAlign w:val="center"/>
            <w:hideMark/>
          </w:tcPr>
          <w:p w14:paraId="526AF972"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72987B4" w14:textId="77777777" w:rsidTr="00CE69A0">
        <w:trPr>
          <w:tblCellSpacing w:w="5" w:type="dxa"/>
        </w:trPr>
        <w:tc>
          <w:tcPr>
            <w:tcW w:w="4943" w:type="pct"/>
            <w:vAlign w:val="center"/>
            <w:hideMark/>
          </w:tcPr>
          <w:p w14:paraId="5C48CE89" w14:textId="77777777" w:rsidR="00576032" w:rsidRPr="00450FB4" w:rsidRDefault="00D67080" w:rsidP="00CE69A0">
            <w:pPr>
              <w:widowControl/>
              <w:autoSpaceDE/>
              <w:autoSpaceDN/>
              <w:rPr>
                <w:color w:val="000000"/>
                <w:lang w:eastAsia="en-AU"/>
              </w:rPr>
            </w:pPr>
            <w:r w:rsidRPr="00450FB4">
              <w:rPr>
                <w:color w:val="000000"/>
                <w:lang w:eastAsia="en-AU"/>
              </w:rPr>
              <w:t xml:space="preserve">Sehgal, S., &amp; Bijoy, K. (2015). Stock Price Reactions to Earnings Announcements: Evidence from India. Vision: The Journal of Business Perspective, 19(1), 25-36. </w:t>
            </w:r>
          </w:p>
          <w:p w14:paraId="7028447E" w14:textId="77777777" w:rsidR="00576032" w:rsidRPr="00450FB4" w:rsidRDefault="00576032" w:rsidP="00CE69A0">
            <w:pPr>
              <w:widowControl/>
              <w:autoSpaceDE/>
              <w:autoSpaceDN/>
              <w:rPr>
                <w:color w:val="000000"/>
                <w:lang w:eastAsia="en-AU"/>
              </w:rPr>
            </w:pPr>
            <w:hyperlink r:id="rId55" w:tgtFrame="_blank" w:history="1">
              <w:r w:rsidRPr="00450FB4">
                <w:rPr>
                  <w:color w:val="0000FF"/>
                  <w:u w:val="single"/>
                  <w:lang w:eastAsia="en-AU"/>
                </w:rPr>
                <w:t>https://doi.org/10.1177/0972262914564042</w:t>
              </w:r>
            </w:hyperlink>
          </w:p>
        </w:tc>
        <w:tc>
          <w:tcPr>
            <w:tcW w:w="0" w:type="auto"/>
            <w:vAlign w:val="center"/>
            <w:hideMark/>
          </w:tcPr>
          <w:p w14:paraId="53D89719" w14:textId="77777777" w:rsidR="00576032" w:rsidRPr="00450FB4" w:rsidRDefault="00576032" w:rsidP="00CE69A0">
            <w:pPr>
              <w:widowControl/>
              <w:autoSpaceDE/>
              <w:autoSpaceDN/>
              <w:rPr>
                <w:lang w:eastAsia="en-AU"/>
              </w:rPr>
            </w:pPr>
          </w:p>
        </w:tc>
      </w:tr>
      <w:tr w:rsidR="00161788" w:rsidRPr="00450FB4" w14:paraId="11A7004F" w14:textId="77777777" w:rsidTr="00CE69A0">
        <w:trPr>
          <w:tblCellSpacing w:w="5" w:type="dxa"/>
        </w:trPr>
        <w:tc>
          <w:tcPr>
            <w:tcW w:w="0" w:type="auto"/>
            <w:gridSpan w:val="2"/>
            <w:vAlign w:val="center"/>
            <w:hideMark/>
          </w:tcPr>
          <w:p w14:paraId="4F47D443"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74114311" w14:textId="77777777" w:rsidTr="00CE69A0">
        <w:trPr>
          <w:tblCellSpacing w:w="5" w:type="dxa"/>
        </w:trPr>
        <w:tc>
          <w:tcPr>
            <w:tcW w:w="4943" w:type="pct"/>
            <w:vAlign w:val="center"/>
            <w:hideMark/>
          </w:tcPr>
          <w:p w14:paraId="4EC394BD" w14:textId="77777777" w:rsidR="00576032" w:rsidRPr="00450FB4" w:rsidRDefault="00D67080" w:rsidP="00CE69A0">
            <w:pPr>
              <w:widowControl/>
              <w:autoSpaceDE/>
              <w:autoSpaceDN/>
              <w:rPr>
                <w:color w:val="000000"/>
                <w:lang w:eastAsia="en-AU"/>
              </w:rPr>
            </w:pPr>
            <w:r w:rsidRPr="00450FB4">
              <w:rPr>
                <w:color w:val="000000"/>
                <w:lang w:eastAsia="en-AU"/>
              </w:rPr>
              <w:lastRenderedPageBreak/>
              <w:t xml:space="preserve">Shimizu, K., Hitt, M. A., Vaidyanath, D., &amp; Pisano, V. (2004). Theoretical foundations of cross-border mergers and acquisitions: A review of current research and recommendations for the future. Journal of International Management, 10(3), 307-353. </w:t>
            </w:r>
          </w:p>
          <w:p w14:paraId="402DFFC9" w14:textId="77777777" w:rsidR="00576032" w:rsidRPr="00450FB4" w:rsidRDefault="00576032" w:rsidP="00CE69A0">
            <w:pPr>
              <w:widowControl/>
              <w:autoSpaceDE/>
              <w:autoSpaceDN/>
              <w:rPr>
                <w:color w:val="000000"/>
                <w:lang w:eastAsia="en-AU"/>
              </w:rPr>
            </w:pPr>
            <w:hyperlink r:id="rId56" w:tgtFrame="_blank" w:history="1">
              <w:r w:rsidRPr="00450FB4">
                <w:rPr>
                  <w:color w:val="0000FF"/>
                  <w:u w:val="single"/>
                  <w:lang w:eastAsia="en-AU"/>
                </w:rPr>
                <w:t>https://doi.org/10.1016/j.intman.2004.05.005</w:t>
              </w:r>
            </w:hyperlink>
          </w:p>
        </w:tc>
        <w:tc>
          <w:tcPr>
            <w:tcW w:w="0" w:type="auto"/>
            <w:vAlign w:val="center"/>
            <w:hideMark/>
          </w:tcPr>
          <w:p w14:paraId="3FBA95CA" w14:textId="77777777" w:rsidR="00576032" w:rsidRPr="00450FB4" w:rsidRDefault="00576032" w:rsidP="00CE69A0">
            <w:pPr>
              <w:widowControl/>
              <w:autoSpaceDE/>
              <w:autoSpaceDN/>
              <w:rPr>
                <w:lang w:eastAsia="en-AU"/>
              </w:rPr>
            </w:pPr>
          </w:p>
        </w:tc>
      </w:tr>
      <w:tr w:rsidR="00161788" w:rsidRPr="00450FB4" w14:paraId="19C4C67A" w14:textId="77777777" w:rsidTr="00CE69A0">
        <w:trPr>
          <w:tblCellSpacing w:w="5" w:type="dxa"/>
        </w:trPr>
        <w:tc>
          <w:tcPr>
            <w:tcW w:w="0" w:type="auto"/>
            <w:gridSpan w:val="2"/>
            <w:vAlign w:val="center"/>
            <w:hideMark/>
          </w:tcPr>
          <w:p w14:paraId="5546D777"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46223AF" w14:textId="77777777" w:rsidTr="00CE69A0">
        <w:trPr>
          <w:tblCellSpacing w:w="5" w:type="dxa"/>
        </w:trPr>
        <w:tc>
          <w:tcPr>
            <w:tcW w:w="4943" w:type="pct"/>
            <w:vAlign w:val="center"/>
            <w:hideMark/>
          </w:tcPr>
          <w:p w14:paraId="2CFEEC6C" w14:textId="77777777" w:rsidR="00576032" w:rsidRPr="00450FB4" w:rsidRDefault="00D67080" w:rsidP="00CE69A0">
            <w:pPr>
              <w:widowControl/>
              <w:autoSpaceDE/>
              <w:autoSpaceDN/>
              <w:rPr>
                <w:color w:val="000000"/>
                <w:lang w:eastAsia="en-AU"/>
              </w:rPr>
            </w:pPr>
            <w:r w:rsidRPr="00450FB4">
              <w:rPr>
                <w:color w:val="000000"/>
                <w:lang w:eastAsia="en-AU"/>
              </w:rPr>
              <w:t xml:space="preserve">Suryono, R. R., Budi, I., &amp; Purwandari, B. (2020). Challenges and Trends of Financial Technology (Fintech): A Systematic Literature Review. Information, 11(12), 590. </w:t>
            </w:r>
          </w:p>
          <w:p w14:paraId="4AC0A441" w14:textId="77777777" w:rsidR="00576032" w:rsidRPr="00450FB4" w:rsidRDefault="00576032" w:rsidP="00CE69A0">
            <w:pPr>
              <w:widowControl/>
              <w:autoSpaceDE/>
              <w:autoSpaceDN/>
              <w:rPr>
                <w:color w:val="000000"/>
                <w:lang w:eastAsia="en-AU"/>
              </w:rPr>
            </w:pPr>
            <w:hyperlink r:id="rId57" w:tgtFrame="_blank" w:history="1">
              <w:r w:rsidRPr="00450FB4">
                <w:rPr>
                  <w:color w:val="0000FF"/>
                  <w:u w:val="single"/>
                  <w:lang w:eastAsia="en-AU"/>
                </w:rPr>
                <w:t>https://doi.org/10.3390/info11120590</w:t>
              </w:r>
            </w:hyperlink>
          </w:p>
        </w:tc>
        <w:tc>
          <w:tcPr>
            <w:tcW w:w="0" w:type="auto"/>
            <w:vAlign w:val="center"/>
            <w:hideMark/>
          </w:tcPr>
          <w:p w14:paraId="5B6A3438" w14:textId="77777777" w:rsidR="00576032" w:rsidRPr="00450FB4" w:rsidRDefault="00576032" w:rsidP="00CE69A0">
            <w:pPr>
              <w:widowControl/>
              <w:autoSpaceDE/>
              <w:autoSpaceDN/>
              <w:rPr>
                <w:lang w:eastAsia="en-AU"/>
              </w:rPr>
            </w:pPr>
          </w:p>
        </w:tc>
      </w:tr>
      <w:tr w:rsidR="00161788" w:rsidRPr="00450FB4" w14:paraId="53AF5C97" w14:textId="77777777" w:rsidTr="00CE69A0">
        <w:trPr>
          <w:tblCellSpacing w:w="5" w:type="dxa"/>
        </w:trPr>
        <w:tc>
          <w:tcPr>
            <w:tcW w:w="0" w:type="auto"/>
            <w:gridSpan w:val="2"/>
            <w:vAlign w:val="center"/>
            <w:hideMark/>
          </w:tcPr>
          <w:p w14:paraId="13FFB42A"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393891ED" w14:textId="77777777" w:rsidTr="00CE69A0">
        <w:trPr>
          <w:tblCellSpacing w:w="5" w:type="dxa"/>
        </w:trPr>
        <w:tc>
          <w:tcPr>
            <w:tcW w:w="4943" w:type="pct"/>
            <w:vAlign w:val="center"/>
            <w:hideMark/>
          </w:tcPr>
          <w:p w14:paraId="097FE294" w14:textId="77777777" w:rsidR="00576032" w:rsidRPr="00450FB4" w:rsidRDefault="00D67080" w:rsidP="00CE69A0">
            <w:pPr>
              <w:widowControl/>
              <w:autoSpaceDE/>
              <w:autoSpaceDN/>
              <w:rPr>
                <w:color w:val="000000"/>
                <w:lang w:eastAsia="en-AU"/>
              </w:rPr>
            </w:pPr>
            <w:r w:rsidRPr="00450FB4">
              <w:rPr>
                <w:color w:val="000000"/>
                <w:lang w:eastAsia="en-AU"/>
              </w:rPr>
              <w:t xml:space="preserve">Syukur, M., &amp; Bungkilo, D. anan. (2020). The aftermaths of acquisition in Indonesia. International Journal of Monetary Economics and Finance, 13(1), 16. </w:t>
            </w:r>
          </w:p>
          <w:p w14:paraId="0A23F374" w14:textId="77777777" w:rsidR="00576032" w:rsidRPr="00450FB4" w:rsidRDefault="00576032" w:rsidP="00CE69A0">
            <w:pPr>
              <w:widowControl/>
              <w:autoSpaceDE/>
              <w:autoSpaceDN/>
              <w:rPr>
                <w:color w:val="000000"/>
                <w:lang w:eastAsia="en-AU"/>
              </w:rPr>
            </w:pPr>
            <w:hyperlink r:id="rId58" w:tgtFrame="_blank" w:history="1">
              <w:r w:rsidRPr="00450FB4">
                <w:rPr>
                  <w:color w:val="0000FF"/>
                  <w:u w:val="single"/>
                  <w:lang w:eastAsia="en-AU"/>
                </w:rPr>
                <w:t>https://doi.org/10.1504/IJMEF.2020.105331</w:t>
              </w:r>
            </w:hyperlink>
          </w:p>
        </w:tc>
        <w:tc>
          <w:tcPr>
            <w:tcW w:w="0" w:type="auto"/>
            <w:vAlign w:val="center"/>
            <w:hideMark/>
          </w:tcPr>
          <w:p w14:paraId="203F58A6" w14:textId="77777777" w:rsidR="00576032" w:rsidRPr="00450FB4" w:rsidRDefault="00576032" w:rsidP="00CE69A0">
            <w:pPr>
              <w:widowControl/>
              <w:autoSpaceDE/>
              <w:autoSpaceDN/>
              <w:rPr>
                <w:lang w:eastAsia="en-AU"/>
              </w:rPr>
            </w:pPr>
          </w:p>
        </w:tc>
      </w:tr>
      <w:tr w:rsidR="00161788" w:rsidRPr="00450FB4" w14:paraId="0732DFF1" w14:textId="77777777" w:rsidTr="00CE69A0">
        <w:trPr>
          <w:tblCellSpacing w:w="5" w:type="dxa"/>
        </w:trPr>
        <w:tc>
          <w:tcPr>
            <w:tcW w:w="0" w:type="auto"/>
            <w:gridSpan w:val="2"/>
            <w:vAlign w:val="center"/>
            <w:hideMark/>
          </w:tcPr>
          <w:p w14:paraId="4A42FEB9"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1F78BB72" w14:textId="77777777" w:rsidTr="00CE69A0">
        <w:trPr>
          <w:tblCellSpacing w:w="5" w:type="dxa"/>
        </w:trPr>
        <w:tc>
          <w:tcPr>
            <w:tcW w:w="4943" w:type="pct"/>
            <w:vAlign w:val="center"/>
            <w:hideMark/>
          </w:tcPr>
          <w:p w14:paraId="45C5E722" w14:textId="77777777" w:rsidR="00576032" w:rsidRPr="00450FB4" w:rsidRDefault="00D67080" w:rsidP="00CE69A0">
            <w:pPr>
              <w:widowControl/>
              <w:autoSpaceDE/>
              <w:autoSpaceDN/>
              <w:rPr>
                <w:color w:val="000000"/>
                <w:lang w:eastAsia="en-AU"/>
              </w:rPr>
            </w:pPr>
            <w:r w:rsidRPr="00450FB4">
              <w:rPr>
                <w:color w:val="000000"/>
                <w:lang w:eastAsia="en-AU"/>
              </w:rPr>
              <w:t xml:space="preserve">Tao, R., Su, C.-W., Naqvi, B., &amp; Rizvi, S. K. A. (2022). Can Fintech development pave the way for a transition towards low-carbon economy: A global perspective. Technological Forecasting and Social Change, 174, 121278. </w:t>
            </w:r>
          </w:p>
          <w:p w14:paraId="5440E13C" w14:textId="77777777" w:rsidR="00576032" w:rsidRPr="00450FB4" w:rsidRDefault="00576032" w:rsidP="00CE69A0">
            <w:pPr>
              <w:widowControl/>
              <w:autoSpaceDE/>
              <w:autoSpaceDN/>
              <w:rPr>
                <w:color w:val="000000"/>
                <w:lang w:eastAsia="en-AU"/>
              </w:rPr>
            </w:pPr>
            <w:hyperlink r:id="rId59" w:tgtFrame="_blank" w:history="1">
              <w:r w:rsidRPr="00450FB4">
                <w:rPr>
                  <w:color w:val="0000FF"/>
                  <w:u w:val="single"/>
                  <w:lang w:eastAsia="en-AU"/>
                </w:rPr>
                <w:t>https://doi.org/10.1016/j.techfore.2021.121278</w:t>
              </w:r>
            </w:hyperlink>
          </w:p>
        </w:tc>
        <w:tc>
          <w:tcPr>
            <w:tcW w:w="0" w:type="auto"/>
            <w:vAlign w:val="center"/>
            <w:hideMark/>
          </w:tcPr>
          <w:p w14:paraId="580DAB7D" w14:textId="77777777" w:rsidR="00576032" w:rsidRPr="00450FB4" w:rsidRDefault="00576032" w:rsidP="00CE69A0">
            <w:pPr>
              <w:widowControl/>
              <w:autoSpaceDE/>
              <w:autoSpaceDN/>
              <w:rPr>
                <w:lang w:eastAsia="en-AU"/>
              </w:rPr>
            </w:pPr>
          </w:p>
        </w:tc>
      </w:tr>
      <w:tr w:rsidR="00161788" w:rsidRPr="00450FB4" w14:paraId="3ED508A1" w14:textId="77777777" w:rsidTr="00CE69A0">
        <w:trPr>
          <w:tblCellSpacing w:w="5" w:type="dxa"/>
        </w:trPr>
        <w:tc>
          <w:tcPr>
            <w:tcW w:w="0" w:type="auto"/>
            <w:gridSpan w:val="2"/>
            <w:vAlign w:val="center"/>
            <w:hideMark/>
          </w:tcPr>
          <w:p w14:paraId="75BBC081"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21650187" w14:textId="77777777" w:rsidTr="00CE69A0">
        <w:trPr>
          <w:tblCellSpacing w:w="5" w:type="dxa"/>
        </w:trPr>
        <w:tc>
          <w:tcPr>
            <w:tcW w:w="4943" w:type="pct"/>
            <w:vAlign w:val="center"/>
            <w:hideMark/>
          </w:tcPr>
          <w:p w14:paraId="0DB8D465" w14:textId="77777777" w:rsidR="00576032" w:rsidRPr="00450FB4" w:rsidRDefault="00D67080" w:rsidP="00CE69A0">
            <w:pPr>
              <w:widowControl/>
              <w:autoSpaceDE/>
              <w:autoSpaceDN/>
              <w:rPr>
                <w:color w:val="000000"/>
                <w:lang w:eastAsia="en-AU"/>
              </w:rPr>
            </w:pPr>
            <w:r w:rsidRPr="00450FB4">
              <w:rPr>
                <w:color w:val="000000"/>
                <w:lang w:eastAsia="en-AU"/>
              </w:rPr>
              <w:t>Venkatesh, V., Morris, M. G., Davis, G. B., &amp; Davis, F. D. (2003). User Acceptance of Information Technology: Toward a Unified View. In Quarterly (Vol. 27, Issue 3).</w:t>
            </w:r>
          </w:p>
          <w:p w14:paraId="06B8DA3F" w14:textId="77777777" w:rsidR="00576032" w:rsidRPr="00450FB4" w:rsidRDefault="00576032" w:rsidP="00CE69A0">
            <w:pPr>
              <w:widowControl/>
              <w:autoSpaceDE/>
              <w:autoSpaceDN/>
              <w:rPr>
                <w:color w:val="000000"/>
                <w:lang w:eastAsia="en-AU"/>
              </w:rPr>
            </w:pPr>
            <w:hyperlink r:id="rId60" w:tgtFrame="_blank" w:history="1">
              <w:r w:rsidRPr="00450FB4">
                <w:rPr>
                  <w:color w:val="0000FF"/>
                  <w:u w:val="single"/>
                  <w:lang w:eastAsia="en-AU"/>
                </w:rPr>
                <w:t>https://doi.org/10.2307/30036540</w:t>
              </w:r>
            </w:hyperlink>
          </w:p>
        </w:tc>
        <w:tc>
          <w:tcPr>
            <w:tcW w:w="0" w:type="auto"/>
            <w:vAlign w:val="center"/>
            <w:hideMark/>
          </w:tcPr>
          <w:p w14:paraId="7C995529" w14:textId="77777777" w:rsidR="00576032" w:rsidRPr="00450FB4" w:rsidRDefault="00576032" w:rsidP="00CE69A0">
            <w:pPr>
              <w:widowControl/>
              <w:autoSpaceDE/>
              <w:autoSpaceDN/>
              <w:rPr>
                <w:lang w:eastAsia="en-AU"/>
              </w:rPr>
            </w:pPr>
          </w:p>
        </w:tc>
      </w:tr>
      <w:tr w:rsidR="00161788" w:rsidRPr="00450FB4" w14:paraId="668C4FE9" w14:textId="77777777" w:rsidTr="00CE69A0">
        <w:trPr>
          <w:tblCellSpacing w:w="5" w:type="dxa"/>
        </w:trPr>
        <w:tc>
          <w:tcPr>
            <w:tcW w:w="0" w:type="auto"/>
            <w:gridSpan w:val="2"/>
            <w:vAlign w:val="center"/>
            <w:hideMark/>
          </w:tcPr>
          <w:p w14:paraId="3AF866CB"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577CAD14" w14:textId="77777777" w:rsidTr="00CE69A0">
        <w:trPr>
          <w:tblCellSpacing w:w="5" w:type="dxa"/>
        </w:trPr>
        <w:tc>
          <w:tcPr>
            <w:tcW w:w="4943" w:type="pct"/>
            <w:vAlign w:val="center"/>
            <w:hideMark/>
          </w:tcPr>
          <w:p w14:paraId="2FE29981" w14:textId="77777777" w:rsidR="00576032" w:rsidRPr="00450FB4" w:rsidRDefault="00D67080" w:rsidP="00CE69A0">
            <w:pPr>
              <w:widowControl/>
              <w:autoSpaceDE/>
              <w:autoSpaceDN/>
              <w:rPr>
                <w:color w:val="000000"/>
                <w:lang w:eastAsia="en-AU"/>
              </w:rPr>
            </w:pPr>
            <w:r w:rsidRPr="00450FB4">
              <w:rPr>
                <w:color w:val="000000"/>
                <w:lang w:eastAsia="en-AU"/>
              </w:rPr>
              <w:t>Williamson, O. E. (1979). Transaction-Cost Economics: The Governance of Contractual Relations. In Source: The Journal of Law &amp; Economics (Vol. 22, Issue 2).</w:t>
            </w:r>
          </w:p>
          <w:p w14:paraId="2327A702" w14:textId="77777777" w:rsidR="00576032" w:rsidRPr="00450FB4" w:rsidRDefault="00576032" w:rsidP="00CE69A0">
            <w:pPr>
              <w:widowControl/>
              <w:autoSpaceDE/>
              <w:autoSpaceDN/>
              <w:rPr>
                <w:color w:val="000000"/>
                <w:lang w:eastAsia="en-AU"/>
              </w:rPr>
            </w:pPr>
            <w:hyperlink r:id="rId61" w:tgtFrame="_blank" w:history="1">
              <w:r w:rsidRPr="00450FB4">
                <w:rPr>
                  <w:color w:val="0000FF"/>
                  <w:u w:val="single"/>
                  <w:lang w:eastAsia="en-AU"/>
                </w:rPr>
                <w:t>https://doi.org/10.1086/466942</w:t>
              </w:r>
            </w:hyperlink>
          </w:p>
        </w:tc>
        <w:tc>
          <w:tcPr>
            <w:tcW w:w="0" w:type="auto"/>
            <w:vAlign w:val="center"/>
            <w:hideMark/>
          </w:tcPr>
          <w:p w14:paraId="433EB398" w14:textId="77777777" w:rsidR="00576032" w:rsidRPr="00450FB4" w:rsidRDefault="00576032" w:rsidP="00CE69A0">
            <w:pPr>
              <w:widowControl/>
              <w:autoSpaceDE/>
              <w:autoSpaceDN/>
              <w:rPr>
                <w:lang w:eastAsia="en-AU"/>
              </w:rPr>
            </w:pPr>
          </w:p>
        </w:tc>
      </w:tr>
      <w:tr w:rsidR="00161788" w:rsidRPr="00450FB4" w14:paraId="19664A54" w14:textId="77777777" w:rsidTr="00CE69A0">
        <w:trPr>
          <w:tblCellSpacing w:w="5" w:type="dxa"/>
        </w:trPr>
        <w:tc>
          <w:tcPr>
            <w:tcW w:w="0" w:type="auto"/>
            <w:gridSpan w:val="2"/>
            <w:vAlign w:val="center"/>
            <w:hideMark/>
          </w:tcPr>
          <w:p w14:paraId="6508B074"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6324119F" w14:textId="77777777" w:rsidTr="00CE69A0">
        <w:trPr>
          <w:tblCellSpacing w:w="5" w:type="dxa"/>
        </w:trPr>
        <w:tc>
          <w:tcPr>
            <w:tcW w:w="4943" w:type="pct"/>
            <w:vAlign w:val="center"/>
            <w:hideMark/>
          </w:tcPr>
          <w:p w14:paraId="043E397C" w14:textId="77777777" w:rsidR="00576032" w:rsidRPr="00450FB4" w:rsidRDefault="00D67080" w:rsidP="00CE69A0">
            <w:pPr>
              <w:widowControl/>
              <w:autoSpaceDE/>
              <w:autoSpaceDN/>
              <w:rPr>
                <w:color w:val="000000"/>
                <w:lang w:eastAsia="en-AU"/>
              </w:rPr>
            </w:pPr>
            <w:r w:rsidRPr="00450FB4">
              <w:rPr>
                <w:color w:val="000000"/>
                <w:lang w:eastAsia="en-AU"/>
              </w:rPr>
              <w:t>Zavolokina, L., Dolata, M., &amp; Schwabe, G. (2016a). FinTech - What's in a Name? Null. https://doi.org/10.5167/uzh-126806</w:t>
            </w:r>
          </w:p>
        </w:tc>
        <w:tc>
          <w:tcPr>
            <w:tcW w:w="0" w:type="auto"/>
            <w:vAlign w:val="center"/>
            <w:hideMark/>
          </w:tcPr>
          <w:p w14:paraId="622FE9AA" w14:textId="77777777" w:rsidR="00576032" w:rsidRPr="00450FB4" w:rsidRDefault="00576032" w:rsidP="00CE69A0">
            <w:pPr>
              <w:widowControl/>
              <w:autoSpaceDE/>
              <w:autoSpaceDN/>
              <w:rPr>
                <w:lang w:eastAsia="en-AU"/>
              </w:rPr>
            </w:pPr>
          </w:p>
        </w:tc>
      </w:tr>
      <w:tr w:rsidR="00161788" w:rsidRPr="00450FB4" w14:paraId="12A0D97D" w14:textId="77777777" w:rsidTr="00CE69A0">
        <w:trPr>
          <w:tblCellSpacing w:w="5" w:type="dxa"/>
        </w:trPr>
        <w:tc>
          <w:tcPr>
            <w:tcW w:w="0" w:type="auto"/>
            <w:gridSpan w:val="2"/>
            <w:vAlign w:val="center"/>
            <w:hideMark/>
          </w:tcPr>
          <w:p w14:paraId="79C4EC0E" w14:textId="77777777" w:rsidR="00576032" w:rsidRPr="00450FB4" w:rsidRDefault="00D67080" w:rsidP="00CE69A0">
            <w:pPr>
              <w:widowControl/>
              <w:autoSpaceDE/>
              <w:autoSpaceDN/>
              <w:rPr>
                <w:color w:val="000000"/>
                <w:lang w:eastAsia="en-AU"/>
              </w:rPr>
            </w:pPr>
            <w:r w:rsidRPr="00450FB4">
              <w:rPr>
                <w:color w:val="000000"/>
                <w:lang w:eastAsia="en-AU"/>
              </w:rPr>
              <w:t> </w:t>
            </w:r>
          </w:p>
        </w:tc>
      </w:tr>
      <w:tr w:rsidR="00161788" w:rsidRPr="00450FB4" w14:paraId="402EA2FB" w14:textId="77777777" w:rsidTr="00CE69A0">
        <w:trPr>
          <w:tblCellSpacing w:w="5" w:type="dxa"/>
        </w:trPr>
        <w:tc>
          <w:tcPr>
            <w:tcW w:w="4943" w:type="pct"/>
            <w:vAlign w:val="center"/>
            <w:hideMark/>
          </w:tcPr>
          <w:p w14:paraId="3FC44263" w14:textId="77777777" w:rsidR="00576032" w:rsidRPr="00450FB4" w:rsidRDefault="00D67080" w:rsidP="00CE69A0">
            <w:pPr>
              <w:widowControl/>
              <w:autoSpaceDE/>
              <w:autoSpaceDN/>
              <w:rPr>
                <w:color w:val="000000"/>
                <w:lang w:eastAsia="en-AU"/>
              </w:rPr>
            </w:pPr>
            <w:r w:rsidRPr="00450FB4">
              <w:rPr>
                <w:color w:val="000000"/>
                <w:lang w:eastAsia="en-AU"/>
              </w:rPr>
              <w:t xml:space="preserve">Zavolokina, L., Dolata, M., &amp; Schwabe, G. (2016b). The FinTech phenomenon: antecedents of financial innovation perceived by the popular press. Financial Innovation, 2(1). </w:t>
            </w:r>
          </w:p>
          <w:p w14:paraId="6733AFB9" w14:textId="77777777" w:rsidR="00576032" w:rsidRPr="00450FB4" w:rsidRDefault="00576032" w:rsidP="00CE69A0">
            <w:pPr>
              <w:widowControl/>
              <w:autoSpaceDE/>
              <w:autoSpaceDN/>
              <w:rPr>
                <w:color w:val="000000"/>
                <w:lang w:eastAsia="en-AU"/>
              </w:rPr>
            </w:pPr>
            <w:hyperlink r:id="rId62" w:tgtFrame="_blank" w:history="1">
              <w:r w:rsidRPr="00450FB4">
                <w:rPr>
                  <w:color w:val="0000FF"/>
                  <w:u w:val="single"/>
                  <w:lang w:eastAsia="en-AU"/>
                </w:rPr>
                <w:t>https://doi.org/10.1186/s40854-016-0036-7</w:t>
              </w:r>
            </w:hyperlink>
          </w:p>
        </w:tc>
        <w:tc>
          <w:tcPr>
            <w:tcW w:w="0" w:type="auto"/>
            <w:vAlign w:val="center"/>
            <w:hideMark/>
          </w:tcPr>
          <w:p w14:paraId="44E92B4B" w14:textId="77777777" w:rsidR="00576032" w:rsidRPr="00450FB4" w:rsidRDefault="00576032" w:rsidP="00CE69A0">
            <w:pPr>
              <w:widowControl/>
              <w:autoSpaceDE/>
              <w:autoSpaceDN/>
              <w:rPr>
                <w:lang w:eastAsia="en-AU"/>
              </w:rPr>
            </w:pPr>
          </w:p>
        </w:tc>
      </w:tr>
    </w:tbl>
    <w:p w14:paraId="582F3CA4" w14:textId="77777777" w:rsidR="00576032" w:rsidRPr="00450FB4" w:rsidRDefault="00576032" w:rsidP="00240B98">
      <w:pPr>
        <w:widowControl/>
        <w:tabs>
          <w:tab w:val="left" w:pos="4026"/>
        </w:tabs>
        <w:suppressAutoHyphens/>
        <w:autoSpaceDE/>
        <w:autoSpaceDN/>
        <w:jc w:val="both"/>
        <w:rPr>
          <w:b/>
          <w:bCs/>
          <w:color w:val="000000"/>
          <w:kern w:val="1"/>
          <w:lang w:eastAsia="ar-SA"/>
        </w:rPr>
      </w:pPr>
    </w:p>
    <w:bookmarkEnd w:id="0"/>
    <w:p w14:paraId="27364808" w14:textId="77777777" w:rsidR="00576032" w:rsidRDefault="00576032" w:rsidP="00240B98">
      <w:pPr>
        <w:widowControl/>
        <w:tabs>
          <w:tab w:val="left" w:pos="4026"/>
        </w:tabs>
        <w:suppressAutoHyphens/>
        <w:autoSpaceDE/>
        <w:autoSpaceDN/>
        <w:jc w:val="both"/>
        <w:rPr>
          <w:b/>
          <w:bCs/>
          <w:color w:val="000000"/>
          <w:kern w:val="1"/>
          <w:sz w:val="24"/>
          <w:szCs w:val="24"/>
          <w:lang w:eastAsia="ar-SA"/>
        </w:rPr>
      </w:pPr>
    </w:p>
    <w:sectPr w:rsidR="00576032" w:rsidSect="00102A96">
      <w:headerReference w:type="default" r:id="rId63"/>
      <w:footerReference w:type="default" r:id="rId64"/>
      <w:pgSz w:w="9640" w:h="13610"/>
      <w:pgMar w:top="1038" w:right="919" w:bottom="919" w:left="1021" w:header="714" w:footer="510" w:gutter="0"/>
      <w:pgNumType w:start="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9D2F" w14:textId="77777777" w:rsidR="00D67080" w:rsidRPr="00450FB4" w:rsidRDefault="00D67080">
      <w:r w:rsidRPr="00450FB4">
        <w:separator/>
      </w:r>
    </w:p>
  </w:endnote>
  <w:endnote w:type="continuationSeparator" w:id="0">
    <w:p w14:paraId="61A70C4A" w14:textId="77777777" w:rsidR="00D67080" w:rsidRPr="00450FB4" w:rsidRDefault="00D67080">
      <w:r w:rsidRPr="00450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234341"/>
      <w:docPartObj>
        <w:docPartGallery w:val="Page Numbers (Bottom of Page)"/>
        <w:docPartUnique/>
      </w:docPartObj>
    </w:sdtPr>
    <w:sdtEndPr>
      <w:rPr>
        <w:sz w:val="20"/>
        <w:szCs w:val="20"/>
      </w:rPr>
    </w:sdtEndPr>
    <w:sdtContent>
      <w:p w14:paraId="20CE7639" w14:textId="77777777" w:rsidR="00240B98" w:rsidRPr="00450FB4" w:rsidRDefault="00D67080">
        <w:pPr>
          <w:pStyle w:val="Footer"/>
          <w:jc w:val="center"/>
          <w:rPr>
            <w:sz w:val="20"/>
            <w:szCs w:val="20"/>
          </w:rPr>
        </w:pPr>
        <w:r w:rsidRPr="00450FB4">
          <w:rPr>
            <w:sz w:val="20"/>
            <w:szCs w:val="20"/>
          </w:rPr>
          <w:fldChar w:fldCharType="begin"/>
        </w:r>
        <w:r w:rsidRPr="00450FB4">
          <w:rPr>
            <w:sz w:val="20"/>
            <w:szCs w:val="20"/>
          </w:rPr>
          <w:instrText xml:space="preserve"> PAGE   \* MERGEFORMAT </w:instrText>
        </w:r>
        <w:r w:rsidRPr="00450FB4">
          <w:rPr>
            <w:sz w:val="20"/>
            <w:szCs w:val="20"/>
          </w:rPr>
          <w:fldChar w:fldCharType="separate"/>
        </w:r>
        <w:r w:rsidRPr="00450FB4">
          <w:rPr>
            <w:sz w:val="20"/>
            <w:szCs w:val="20"/>
          </w:rPr>
          <w:t>2</w:t>
        </w:r>
        <w:r w:rsidRPr="00450FB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4901" w14:textId="77777777" w:rsidR="00704719" w:rsidRPr="00450FB4" w:rsidRDefault="00D67080">
      <w:r w:rsidRPr="00450FB4">
        <w:separator/>
      </w:r>
    </w:p>
  </w:footnote>
  <w:footnote w:type="continuationSeparator" w:id="0">
    <w:p w14:paraId="682AF1E3" w14:textId="77777777" w:rsidR="00704719" w:rsidRPr="00450FB4" w:rsidRDefault="00D67080">
      <w:r w:rsidRPr="00450FB4">
        <w:continuationSeparator/>
      </w:r>
    </w:p>
  </w:footnote>
  <w:footnote w:id="1">
    <w:p w14:paraId="2F1AFF07" w14:textId="77777777" w:rsidR="00A95558" w:rsidRPr="00450FB4" w:rsidRDefault="00D67080">
      <w:pPr>
        <w:pStyle w:val="FootnoteText"/>
      </w:pPr>
      <w:r w:rsidRPr="00450FB4">
        <w:rPr>
          <w:rStyle w:val="FootnoteReference"/>
        </w:rPr>
        <w:footnoteRef/>
      </w:r>
      <w:r w:rsidRPr="00450FB4">
        <w:t xml:space="preserve"> Symbiosis Centre for Management and Human Resource Development, Symbiosis International University, Pune, India</w:t>
      </w:r>
    </w:p>
  </w:footnote>
  <w:footnote w:id="2">
    <w:p w14:paraId="39B683C3" w14:textId="56287546" w:rsidR="00A95558" w:rsidRPr="00450FB4" w:rsidRDefault="00D67080">
      <w:pPr>
        <w:pStyle w:val="FootnoteText"/>
      </w:pPr>
      <w:r w:rsidRPr="00450FB4">
        <w:rPr>
          <w:rStyle w:val="FootnoteReference"/>
        </w:rPr>
        <w:footnoteRef/>
      </w:r>
      <w:r w:rsidRPr="00450FB4">
        <w:t xml:space="preserve"> Symbiosis Centre for Management and Human Resource Development, Symbiosis International University, Pune, India</w:t>
      </w:r>
    </w:p>
  </w:footnote>
  <w:footnote w:id="3">
    <w:p w14:paraId="29E9AFF9" w14:textId="77777777" w:rsidR="00A95558" w:rsidRPr="00450FB4" w:rsidRDefault="00D67080">
      <w:pPr>
        <w:pStyle w:val="FootnoteText"/>
      </w:pPr>
      <w:r w:rsidRPr="00450FB4">
        <w:rPr>
          <w:rStyle w:val="FootnoteReference"/>
        </w:rPr>
        <w:footnoteRef/>
      </w:r>
      <w:r w:rsidRPr="00450FB4">
        <w:t xml:space="preserve"> Jaipuri Institute of Management, Indore, India</w:t>
      </w:r>
    </w:p>
  </w:footnote>
  <w:footnote w:id="4">
    <w:p w14:paraId="0510BF06" w14:textId="77777777" w:rsidR="00A95558" w:rsidRPr="00450FB4" w:rsidRDefault="00D67080" w:rsidP="00A95558">
      <w:pPr>
        <w:pStyle w:val="FootnoteText"/>
      </w:pPr>
      <w:r w:rsidRPr="00450FB4">
        <w:rPr>
          <w:rStyle w:val="FootnoteReference"/>
        </w:rPr>
        <w:footnoteRef/>
      </w:r>
      <w:r w:rsidRPr="00450FB4">
        <w:t xml:space="preserve"> Symbiosis Centre for Management and Human Resource Development, Symbiosis International University, Pune, India</w:t>
      </w:r>
    </w:p>
    <w:p w14:paraId="6E7CFB4E" w14:textId="77777777" w:rsidR="00A95558" w:rsidRPr="00A95558" w:rsidRDefault="00D67080" w:rsidP="00A95558">
      <w:pPr>
        <w:pStyle w:val="FootnoteText"/>
      </w:pPr>
      <w:r w:rsidRPr="00450FB4">
        <w:t>Sharmavins@gmail.com</w:t>
      </w:r>
      <w:r w:rsidR="00590CFE" w:rsidRPr="00450FB4">
        <w:t>.</w:t>
      </w:r>
      <w:r w:rsidRPr="00450FB4">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F94C" w14:textId="77777777" w:rsidR="00240B98" w:rsidRPr="00450FB4" w:rsidRDefault="00D67080" w:rsidP="00240B98">
    <w:pPr>
      <w:spacing w:before="12"/>
      <w:ind w:left="20"/>
      <w:rPr>
        <w:sz w:val="16"/>
        <w:szCs w:val="16"/>
      </w:rPr>
    </w:pPr>
    <w:bookmarkStart w:id="41" w:name="_Hlk189208882"/>
    <w:r w:rsidRPr="00450FB4">
      <w:rPr>
        <w:b/>
        <w:sz w:val="16"/>
        <w:szCs w:val="16"/>
      </w:rPr>
      <w:t>AABFJ</w:t>
    </w:r>
    <w:r w:rsidRPr="00450FB4">
      <w:rPr>
        <w:b/>
        <w:spacing w:val="-3"/>
        <w:sz w:val="16"/>
        <w:szCs w:val="16"/>
      </w:rPr>
      <w:t xml:space="preserve"> </w:t>
    </w:r>
    <w:r w:rsidRPr="00450FB4">
      <w:rPr>
        <w:sz w:val="16"/>
        <w:szCs w:val="16"/>
      </w:rPr>
      <w:t>Volume</w:t>
    </w:r>
    <w:r w:rsidRPr="00450FB4">
      <w:rPr>
        <w:spacing w:val="-3"/>
        <w:sz w:val="16"/>
        <w:szCs w:val="16"/>
      </w:rPr>
      <w:t xml:space="preserve"> </w:t>
    </w:r>
    <w:r w:rsidRPr="00450FB4">
      <w:rPr>
        <w:sz w:val="16"/>
        <w:szCs w:val="16"/>
      </w:rPr>
      <w:t>19,</w:t>
    </w:r>
    <w:r w:rsidRPr="00450FB4">
      <w:rPr>
        <w:spacing w:val="-4"/>
        <w:sz w:val="16"/>
        <w:szCs w:val="16"/>
      </w:rPr>
      <w:t xml:space="preserve"> </w:t>
    </w:r>
    <w:r w:rsidRPr="00450FB4">
      <w:rPr>
        <w:sz w:val="16"/>
        <w:szCs w:val="16"/>
      </w:rPr>
      <w:t>Issue</w:t>
    </w:r>
    <w:r w:rsidRPr="00450FB4">
      <w:rPr>
        <w:spacing w:val="-3"/>
        <w:sz w:val="16"/>
        <w:szCs w:val="16"/>
      </w:rPr>
      <w:t xml:space="preserve"> </w:t>
    </w:r>
    <w:r w:rsidRPr="00450FB4">
      <w:rPr>
        <w:sz w:val="16"/>
        <w:szCs w:val="16"/>
      </w:rPr>
      <w:t>1,</w:t>
    </w:r>
    <w:r w:rsidRPr="00450FB4">
      <w:rPr>
        <w:spacing w:val="-1"/>
        <w:sz w:val="16"/>
        <w:szCs w:val="16"/>
      </w:rPr>
      <w:t xml:space="preserve"> </w:t>
    </w:r>
    <w:r w:rsidRPr="00450FB4">
      <w:rPr>
        <w:sz w:val="16"/>
        <w:szCs w:val="16"/>
      </w:rPr>
      <w:t>2025.</w:t>
    </w:r>
    <w:r w:rsidRPr="00450FB4">
      <w:rPr>
        <w:spacing w:val="-1"/>
        <w:sz w:val="16"/>
        <w:szCs w:val="16"/>
      </w:rPr>
      <w:t xml:space="preserve">  Panda, Sharma, Kapse &amp; Sharma:</w:t>
    </w:r>
    <w:r w:rsidRPr="00450FB4">
      <w:t xml:space="preserve"> </w:t>
    </w:r>
    <w:r w:rsidRPr="00450FB4">
      <w:rPr>
        <w:spacing w:val="-1"/>
        <w:sz w:val="16"/>
        <w:szCs w:val="16"/>
      </w:rPr>
      <w:t xml:space="preserve">The Impact of Fintech Acquisition on Acquirers in India </w:t>
    </w:r>
  </w:p>
  <w:bookmarkEnd w:id="41"/>
  <w:p w14:paraId="07E4CDA7" w14:textId="77777777" w:rsidR="00240B98" w:rsidRPr="00450FB4" w:rsidRDefault="00240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3DAF9D4"/>
    <w:name w:val="WWNum5"/>
    <w:lvl w:ilvl="0">
      <w:start w:val="4"/>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b/>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3"/>
    <w:multiLevelType w:val="multilevel"/>
    <w:tmpl w:val="00000003"/>
    <w:name w:val="WWNum6"/>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2" w15:restartNumberingAfterBreak="0">
    <w:nsid w:val="00000004"/>
    <w:multiLevelType w:val="multilevel"/>
    <w:tmpl w:val="5A72213E"/>
    <w:name w:val="WWNum11"/>
    <w:lvl w:ilvl="0">
      <w:start w:val="1"/>
      <w:numFmt w:val="decimal"/>
      <w:lvlText w:val="%1."/>
      <w:lvlJc w:val="left"/>
      <w:pPr>
        <w:tabs>
          <w:tab w:val="num" w:pos="0"/>
        </w:tabs>
        <w:ind w:left="720" w:hanging="360"/>
      </w:pPr>
    </w:lvl>
    <w:lvl w:ilvl="1">
      <w:start w:val="2"/>
      <w:numFmt w:val="decimal"/>
      <w:lvlText w:val="%1.%2"/>
      <w:lvlJc w:val="left"/>
      <w:pPr>
        <w:tabs>
          <w:tab w:val="num" w:pos="0"/>
        </w:tabs>
        <w:ind w:left="502"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5"/>
    <w:multiLevelType w:val="multilevel"/>
    <w:tmpl w:val="00000005"/>
    <w:name w:val="WWNum12"/>
    <w:lvl w:ilvl="0">
      <w:start w:val="1"/>
      <w:numFmt w:val="decimal"/>
      <w:lvlText w:val="%1"/>
      <w:lvlJc w:val="left"/>
      <w:pPr>
        <w:tabs>
          <w:tab w:val="num" w:pos="0"/>
        </w:tabs>
        <w:ind w:left="360" w:hanging="360"/>
      </w:pPr>
    </w:lvl>
    <w:lvl w:ilvl="1">
      <w:start w:val="1"/>
      <w:numFmt w:val="decimal"/>
      <w:lvlText w:val="%1.%2"/>
      <w:lvlJc w:val="left"/>
      <w:pPr>
        <w:tabs>
          <w:tab w:val="num" w:pos="1830"/>
        </w:tabs>
        <w:ind w:left="2250" w:hanging="360"/>
      </w:pPr>
    </w:lvl>
    <w:lvl w:ilvl="2">
      <w:start w:val="1"/>
      <w:numFmt w:val="decimal"/>
      <w:lvlText w:val="%1.%2.%3"/>
      <w:lvlJc w:val="left"/>
      <w:pPr>
        <w:tabs>
          <w:tab w:val="num" w:pos="0"/>
        </w:tabs>
        <w:ind w:left="840" w:hanging="720"/>
      </w:pPr>
    </w:lvl>
    <w:lvl w:ilvl="3">
      <w:start w:val="1"/>
      <w:numFmt w:val="decimal"/>
      <w:lvlText w:val="%1.%2.%3.%4"/>
      <w:lvlJc w:val="left"/>
      <w:pPr>
        <w:tabs>
          <w:tab w:val="num" w:pos="0"/>
        </w:tabs>
        <w:ind w:left="900" w:hanging="720"/>
      </w:pPr>
    </w:lvl>
    <w:lvl w:ilvl="4">
      <w:start w:val="1"/>
      <w:numFmt w:val="decimal"/>
      <w:lvlText w:val="%1.%2.%3.%4.%5"/>
      <w:lvlJc w:val="left"/>
      <w:pPr>
        <w:tabs>
          <w:tab w:val="num" w:pos="0"/>
        </w:tabs>
        <w:ind w:left="1320" w:hanging="1080"/>
      </w:pPr>
    </w:lvl>
    <w:lvl w:ilvl="5">
      <w:start w:val="1"/>
      <w:numFmt w:val="decimal"/>
      <w:lvlText w:val="%1.%2.%3.%4.%5.%6"/>
      <w:lvlJc w:val="left"/>
      <w:pPr>
        <w:tabs>
          <w:tab w:val="num" w:pos="0"/>
        </w:tabs>
        <w:ind w:left="138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60" w:hanging="1440"/>
      </w:pPr>
    </w:lvl>
    <w:lvl w:ilvl="8">
      <w:start w:val="1"/>
      <w:numFmt w:val="decimal"/>
      <w:lvlText w:val="%1.%2.%3.%4.%5.%6.%7.%8.%9"/>
      <w:lvlJc w:val="left"/>
      <w:pPr>
        <w:tabs>
          <w:tab w:val="num" w:pos="0"/>
        </w:tabs>
        <w:ind w:left="2280" w:hanging="1800"/>
      </w:pPr>
    </w:lvl>
  </w:abstractNum>
  <w:abstractNum w:abstractNumId="4" w15:restartNumberingAfterBreak="0">
    <w:nsid w:val="00000006"/>
    <w:multiLevelType w:val="multilevel"/>
    <w:tmpl w:val="D8BE9A0A"/>
    <w:name w:val="WWNum13"/>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Num28"/>
    <w:lvl w:ilvl="0">
      <w:start w:val="1"/>
      <w:numFmt w:val="bullet"/>
      <w:lvlText w:val=""/>
      <w:lvlJc w:val="left"/>
      <w:pPr>
        <w:tabs>
          <w:tab w:val="num" w:pos="0"/>
        </w:tabs>
        <w:ind w:left="2771"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29"/>
    <w:lvl w:ilvl="0">
      <w:start w:val="1"/>
      <w:numFmt w:val="bullet"/>
      <w:lvlText w:val=""/>
      <w:lvlJc w:val="left"/>
      <w:pPr>
        <w:tabs>
          <w:tab w:val="num" w:pos="0"/>
        </w:tabs>
        <w:ind w:left="1572" w:hanging="360"/>
      </w:pPr>
      <w:rPr>
        <w:rFonts w:ascii="Symbol" w:hAnsi="Symbol"/>
      </w:rPr>
    </w:lvl>
    <w:lvl w:ilvl="1">
      <w:start w:val="1"/>
      <w:numFmt w:val="bullet"/>
      <w:lvlText w:val="o"/>
      <w:lvlJc w:val="left"/>
      <w:pPr>
        <w:tabs>
          <w:tab w:val="num" w:pos="0"/>
        </w:tabs>
        <w:ind w:left="2292" w:hanging="360"/>
      </w:pPr>
      <w:rPr>
        <w:rFonts w:ascii="Courier New" w:hAnsi="Courier New" w:cs="Courier New"/>
      </w:rPr>
    </w:lvl>
    <w:lvl w:ilvl="2">
      <w:start w:val="1"/>
      <w:numFmt w:val="bullet"/>
      <w:lvlText w:val=""/>
      <w:lvlJc w:val="left"/>
      <w:pPr>
        <w:tabs>
          <w:tab w:val="num" w:pos="0"/>
        </w:tabs>
        <w:ind w:left="3012" w:hanging="360"/>
      </w:pPr>
      <w:rPr>
        <w:rFonts w:ascii="Wingdings" w:hAnsi="Wingdings"/>
      </w:rPr>
    </w:lvl>
    <w:lvl w:ilvl="3">
      <w:start w:val="1"/>
      <w:numFmt w:val="bullet"/>
      <w:lvlText w:val=""/>
      <w:lvlJc w:val="left"/>
      <w:pPr>
        <w:tabs>
          <w:tab w:val="num" w:pos="0"/>
        </w:tabs>
        <w:ind w:left="3732" w:hanging="360"/>
      </w:pPr>
      <w:rPr>
        <w:rFonts w:ascii="Symbol" w:hAnsi="Symbol"/>
      </w:rPr>
    </w:lvl>
    <w:lvl w:ilvl="4">
      <w:start w:val="1"/>
      <w:numFmt w:val="bullet"/>
      <w:lvlText w:val="o"/>
      <w:lvlJc w:val="left"/>
      <w:pPr>
        <w:tabs>
          <w:tab w:val="num" w:pos="0"/>
        </w:tabs>
        <w:ind w:left="4452" w:hanging="360"/>
      </w:pPr>
      <w:rPr>
        <w:rFonts w:ascii="Courier New" w:hAnsi="Courier New" w:cs="Courier New"/>
      </w:rPr>
    </w:lvl>
    <w:lvl w:ilvl="5">
      <w:start w:val="1"/>
      <w:numFmt w:val="bullet"/>
      <w:lvlText w:val=""/>
      <w:lvlJc w:val="left"/>
      <w:pPr>
        <w:tabs>
          <w:tab w:val="num" w:pos="0"/>
        </w:tabs>
        <w:ind w:left="5172" w:hanging="360"/>
      </w:pPr>
      <w:rPr>
        <w:rFonts w:ascii="Wingdings" w:hAnsi="Wingdings"/>
      </w:rPr>
    </w:lvl>
    <w:lvl w:ilvl="6">
      <w:start w:val="1"/>
      <w:numFmt w:val="bullet"/>
      <w:lvlText w:val=""/>
      <w:lvlJc w:val="left"/>
      <w:pPr>
        <w:tabs>
          <w:tab w:val="num" w:pos="0"/>
        </w:tabs>
        <w:ind w:left="5892" w:hanging="360"/>
      </w:pPr>
      <w:rPr>
        <w:rFonts w:ascii="Symbol" w:hAnsi="Symbol"/>
      </w:rPr>
    </w:lvl>
    <w:lvl w:ilvl="7">
      <w:start w:val="1"/>
      <w:numFmt w:val="bullet"/>
      <w:lvlText w:val="o"/>
      <w:lvlJc w:val="left"/>
      <w:pPr>
        <w:tabs>
          <w:tab w:val="num" w:pos="0"/>
        </w:tabs>
        <w:ind w:left="6612" w:hanging="360"/>
      </w:pPr>
      <w:rPr>
        <w:rFonts w:ascii="Courier New" w:hAnsi="Courier New" w:cs="Courier New"/>
      </w:rPr>
    </w:lvl>
    <w:lvl w:ilvl="8">
      <w:start w:val="1"/>
      <w:numFmt w:val="bullet"/>
      <w:lvlText w:val=""/>
      <w:lvlJc w:val="left"/>
      <w:pPr>
        <w:tabs>
          <w:tab w:val="num" w:pos="0"/>
        </w:tabs>
        <w:ind w:left="7332" w:hanging="360"/>
      </w:pPr>
      <w:rPr>
        <w:rFonts w:ascii="Wingdings" w:hAnsi="Wingdings"/>
      </w:rPr>
    </w:lvl>
  </w:abstractNum>
  <w:abstractNum w:abstractNumId="7" w15:restartNumberingAfterBreak="0">
    <w:nsid w:val="00000009"/>
    <w:multiLevelType w:val="multilevel"/>
    <w:tmpl w:val="00000009"/>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219215E"/>
    <w:multiLevelType w:val="multilevel"/>
    <w:tmpl w:val="771CD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B11086"/>
    <w:multiLevelType w:val="hybridMultilevel"/>
    <w:tmpl w:val="49769B82"/>
    <w:lvl w:ilvl="0" w:tplc="4C3ADB56">
      <w:start w:val="1"/>
      <w:numFmt w:val="lowerLetter"/>
      <w:lvlText w:val="%1."/>
      <w:lvlJc w:val="left"/>
      <w:pPr>
        <w:ind w:left="720" w:hanging="360"/>
      </w:pPr>
    </w:lvl>
    <w:lvl w:ilvl="1" w:tplc="2B6AEBF0" w:tentative="1">
      <w:start w:val="1"/>
      <w:numFmt w:val="lowerLetter"/>
      <w:lvlText w:val="%2."/>
      <w:lvlJc w:val="left"/>
      <w:pPr>
        <w:ind w:left="1440" w:hanging="360"/>
      </w:pPr>
    </w:lvl>
    <w:lvl w:ilvl="2" w:tplc="F8A477F2" w:tentative="1">
      <w:start w:val="1"/>
      <w:numFmt w:val="lowerRoman"/>
      <w:lvlText w:val="%3."/>
      <w:lvlJc w:val="right"/>
      <w:pPr>
        <w:ind w:left="2160" w:hanging="180"/>
      </w:pPr>
    </w:lvl>
    <w:lvl w:ilvl="3" w:tplc="DD9AD890" w:tentative="1">
      <w:start w:val="1"/>
      <w:numFmt w:val="decimal"/>
      <w:lvlText w:val="%4."/>
      <w:lvlJc w:val="left"/>
      <w:pPr>
        <w:ind w:left="2880" w:hanging="360"/>
      </w:pPr>
    </w:lvl>
    <w:lvl w:ilvl="4" w:tplc="8F622D24" w:tentative="1">
      <w:start w:val="1"/>
      <w:numFmt w:val="lowerLetter"/>
      <w:lvlText w:val="%5."/>
      <w:lvlJc w:val="left"/>
      <w:pPr>
        <w:ind w:left="3600" w:hanging="360"/>
      </w:pPr>
    </w:lvl>
    <w:lvl w:ilvl="5" w:tplc="042084D2" w:tentative="1">
      <w:start w:val="1"/>
      <w:numFmt w:val="lowerRoman"/>
      <w:lvlText w:val="%6."/>
      <w:lvlJc w:val="right"/>
      <w:pPr>
        <w:ind w:left="4320" w:hanging="180"/>
      </w:pPr>
    </w:lvl>
    <w:lvl w:ilvl="6" w:tplc="D3A02E18" w:tentative="1">
      <w:start w:val="1"/>
      <w:numFmt w:val="decimal"/>
      <w:lvlText w:val="%7."/>
      <w:lvlJc w:val="left"/>
      <w:pPr>
        <w:ind w:left="5040" w:hanging="360"/>
      </w:pPr>
    </w:lvl>
    <w:lvl w:ilvl="7" w:tplc="A39643F2" w:tentative="1">
      <w:start w:val="1"/>
      <w:numFmt w:val="lowerLetter"/>
      <w:lvlText w:val="%8."/>
      <w:lvlJc w:val="left"/>
      <w:pPr>
        <w:ind w:left="5760" w:hanging="360"/>
      </w:pPr>
    </w:lvl>
    <w:lvl w:ilvl="8" w:tplc="E93C4850" w:tentative="1">
      <w:start w:val="1"/>
      <w:numFmt w:val="lowerRoman"/>
      <w:lvlText w:val="%9."/>
      <w:lvlJc w:val="right"/>
      <w:pPr>
        <w:ind w:left="6480" w:hanging="180"/>
      </w:pPr>
    </w:lvl>
  </w:abstractNum>
  <w:abstractNum w:abstractNumId="10" w15:restartNumberingAfterBreak="0">
    <w:nsid w:val="0B805777"/>
    <w:multiLevelType w:val="hybridMultilevel"/>
    <w:tmpl w:val="8376C3EC"/>
    <w:lvl w:ilvl="0" w:tplc="CEE00242">
      <w:start w:val="1"/>
      <w:numFmt w:val="bullet"/>
      <w:lvlText w:val=""/>
      <w:lvlJc w:val="left"/>
      <w:pPr>
        <w:ind w:left="720" w:hanging="360"/>
      </w:pPr>
      <w:rPr>
        <w:rFonts w:ascii="Symbol" w:hAnsi="Symbol" w:hint="default"/>
      </w:rPr>
    </w:lvl>
    <w:lvl w:ilvl="1" w:tplc="10A4E924" w:tentative="1">
      <w:start w:val="1"/>
      <w:numFmt w:val="bullet"/>
      <w:lvlText w:val="o"/>
      <w:lvlJc w:val="left"/>
      <w:pPr>
        <w:ind w:left="1440" w:hanging="360"/>
      </w:pPr>
      <w:rPr>
        <w:rFonts w:ascii="Courier New" w:hAnsi="Courier New" w:cs="Courier New" w:hint="default"/>
      </w:rPr>
    </w:lvl>
    <w:lvl w:ilvl="2" w:tplc="99225168" w:tentative="1">
      <w:start w:val="1"/>
      <w:numFmt w:val="bullet"/>
      <w:lvlText w:val=""/>
      <w:lvlJc w:val="left"/>
      <w:pPr>
        <w:ind w:left="2160" w:hanging="360"/>
      </w:pPr>
      <w:rPr>
        <w:rFonts w:ascii="Wingdings" w:hAnsi="Wingdings" w:hint="default"/>
      </w:rPr>
    </w:lvl>
    <w:lvl w:ilvl="3" w:tplc="9A482CD8" w:tentative="1">
      <w:start w:val="1"/>
      <w:numFmt w:val="bullet"/>
      <w:lvlText w:val=""/>
      <w:lvlJc w:val="left"/>
      <w:pPr>
        <w:ind w:left="2880" w:hanging="360"/>
      </w:pPr>
      <w:rPr>
        <w:rFonts w:ascii="Symbol" w:hAnsi="Symbol" w:hint="default"/>
      </w:rPr>
    </w:lvl>
    <w:lvl w:ilvl="4" w:tplc="D8641E24" w:tentative="1">
      <w:start w:val="1"/>
      <w:numFmt w:val="bullet"/>
      <w:lvlText w:val="o"/>
      <w:lvlJc w:val="left"/>
      <w:pPr>
        <w:ind w:left="3600" w:hanging="360"/>
      </w:pPr>
      <w:rPr>
        <w:rFonts w:ascii="Courier New" w:hAnsi="Courier New" w:cs="Courier New" w:hint="default"/>
      </w:rPr>
    </w:lvl>
    <w:lvl w:ilvl="5" w:tplc="98F440D8" w:tentative="1">
      <w:start w:val="1"/>
      <w:numFmt w:val="bullet"/>
      <w:lvlText w:val=""/>
      <w:lvlJc w:val="left"/>
      <w:pPr>
        <w:ind w:left="4320" w:hanging="360"/>
      </w:pPr>
      <w:rPr>
        <w:rFonts w:ascii="Wingdings" w:hAnsi="Wingdings" w:hint="default"/>
      </w:rPr>
    </w:lvl>
    <w:lvl w:ilvl="6" w:tplc="1B4E022C" w:tentative="1">
      <w:start w:val="1"/>
      <w:numFmt w:val="bullet"/>
      <w:lvlText w:val=""/>
      <w:lvlJc w:val="left"/>
      <w:pPr>
        <w:ind w:left="5040" w:hanging="360"/>
      </w:pPr>
      <w:rPr>
        <w:rFonts w:ascii="Symbol" w:hAnsi="Symbol" w:hint="default"/>
      </w:rPr>
    </w:lvl>
    <w:lvl w:ilvl="7" w:tplc="AC86356A" w:tentative="1">
      <w:start w:val="1"/>
      <w:numFmt w:val="bullet"/>
      <w:lvlText w:val="o"/>
      <w:lvlJc w:val="left"/>
      <w:pPr>
        <w:ind w:left="5760" w:hanging="360"/>
      </w:pPr>
      <w:rPr>
        <w:rFonts w:ascii="Courier New" w:hAnsi="Courier New" w:cs="Courier New" w:hint="default"/>
      </w:rPr>
    </w:lvl>
    <w:lvl w:ilvl="8" w:tplc="8640C4E4" w:tentative="1">
      <w:start w:val="1"/>
      <w:numFmt w:val="bullet"/>
      <w:lvlText w:val=""/>
      <w:lvlJc w:val="left"/>
      <w:pPr>
        <w:ind w:left="6480" w:hanging="360"/>
      </w:pPr>
      <w:rPr>
        <w:rFonts w:ascii="Wingdings" w:hAnsi="Wingdings" w:hint="default"/>
      </w:rPr>
    </w:lvl>
  </w:abstractNum>
  <w:abstractNum w:abstractNumId="11" w15:restartNumberingAfterBreak="0">
    <w:nsid w:val="10195480"/>
    <w:multiLevelType w:val="multilevel"/>
    <w:tmpl w:val="D41E13E8"/>
    <w:lvl w:ilvl="0">
      <w:start w:val="4"/>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10B1027D"/>
    <w:multiLevelType w:val="hybridMultilevel"/>
    <w:tmpl w:val="3C060032"/>
    <w:lvl w:ilvl="0" w:tplc="090A0A32">
      <w:start w:val="1"/>
      <w:numFmt w:val="bullet"/>
      <w:lvlText w:val=""/>
      <w:lvlJc w:val="left"/>
      <w:pPr>
        <w:ind w:left="1080" w:hanging="360"/>
      </w:pPr>
      <w:rPr>
        <w:rFonts w:ascii="Symbol" w:hAnsi="Symbol" w:hint="default"/>
      </w:rPr>
    </w:lvl>
    <w:lvl w:ilvl="1" w:tplc="5CB28642" w:tentative="1">
      <w:start w:val="1"/>
      <w:numFmt w:val="bullet"/>
      <w:lvlText w:val="o"/>
      <w:lvlJc w:val="left"/>
      <w:pPr>
        <w:ind w:left="1800" w:hanging="360"/>
      </w:pPr>
      <w:rPr>
        <w:rFonts w:ascii="Courier New" w:hAnsi="Courier New" w:cs="Courier New" w:hint="default"/>
      </w:rPr>
    </w:lvl>
    <w:lvl w:ilvl="2" w:tplc="3ACADD14" w:tentative="1">
      <w:start w:val="1"/>
      <w:numFmt w:val="bullet"/>
      <w:lvlText w:val=""/>
      <w:lvlJc w:val="left"/>
      <w:pPr>
        <w:ind w:left="2520" w:hanging="360"/>
      </w:pPr>
      <w:rPr>
        <w:rFonts w:ascii="Wingdings" w:hAnsi="Wingdings" w:hint="default"/>
      </w:rPr>
    </w:lvl>
    <w:lvl w:ilvl="3" w:tplc="EA624708" w:tentative="1">
      <w:start w:val="1"/>
      <w:numFmt w:val="bullet"/>
      <w:lvlText w:val=""/>
      <w:lvlJc w:val="left"/>
      <w:pPr>
        <w:ind w:left="3240" w:hanging="360"/>
      </w:pPr>
      <w:rPr>
        <w:rFonts w:ascii="Symbol" w:hAnsi="Symbol" w:hint="default"/>
      </w:rPr>
    </w:lvl>
    <w:lvl w:ilvl="4" w:tplc="7F64BAE0" w:tentative="1">
      <w:start w:val="1"/>
      <w:numFmt w:val="bullet"/>
      <w:lvlText w:val="o"/>
      <w:lvlJc w:val="left"/>
      <w:pPr>
        <w:ind w:left="3960" w:hanging="360"/>
      </w:pPr>
      <w:rPr>
        <w:rFonts w:ascii="Courier New" w:hAnsi="Courier New" w:cs="Courier New" w:hint="default"/>
      </w:rPr>
    </w:lvl>
    <w:lvl w:ilvl="5" w:tplc="DC08DB62" w:tentative="1">
      <w:start w:val="1"/>
      <w:numFmt w:val="bullet"/>
      <w:lvlText w:val=""/>
      <w:lvlJc w:val="left"/>
      <w:pPr>
        <w:ind w:left="4680" w:hanging="360"/>
      </w:pPr>
      <w:rPr>
        <w:rFonts w:ascii="Wingdings" w:hAnsi="Wingdings" w:hint="default"/>
      </w:rPr>
    </w:lvl>
    <w:lvl w:ilvl="6" w:tplc="F9968F64" w:tentative="1">
      <w:start w:val="1"/>
      <w:numFmt w:val="bullet"/>
      <w:lvlText w:val=""/>
      <w:lvlJc w:val="left"/>
      <w:pPr>
        <w:ind w:left="5400" w:hanging="360"/>
      </w:pPr>
      <w:rPr>
        <w:rFonts w:ascii="Symbol" w:hAnsi="Symbol" w:hint="default"/>
      </w:rPr>
    </w:lvl>
    <w:lvl w:ilvl="7" w:tplc="612C71EE" w:tentative="1">
      <w:start w:val="1"/>
      <w:numFmt w:val="bullet"/>
      <w:lvlText w:val="o"/>
      <w:lvlJc w:val="left"/>
      <w:pPr>
        <w:ind w:left="6120" w:hanging="360"/>
      </w:pPr>
      <w:rPr>
        <w:rFonts w:ascii="Courier New" w:hAnsi="Courier New" w:cs="Courier New" w:hint="default"/>
      </w:rPr>
    </w:lvl>
    <w:lvl w:ilvl="8" w:tplc="1C9A83A6" w:tentative="1">
      <w:start w:val="1"/>
      <w:numFmt w:val="bullet"/>
      <w:lvlText w:val=""/>
      <w:lvlJc w:val="left"/>
      <w:pPr>
        <w:ind w:left="6840" w:hanging="360"/>
      </w:pPr>
      <w:rPr>
        <w:rFonts w:ascii="Wingdings" w:hAnsi="Wingdings" w:hint="default"/>
      </w:rPr>
    </w:lvl>
  </w:abstractNum>
  <w:abstractNum w:abstractNumId="13" w15:restartNumberingAfterBreak="0">
    <w:nsid w:val="11483C92"/>
    <w:multiLevelType w:val="multilevel"/>
    <w:tmpl w:val="7244F3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B35866"/>
    <w:multiLevelType w:val="hybridMultilevel"/>
    <w:tmpl w:val="3166A468"/>
    <w:lvl w:ilvl="0" w:tplc="FC5268D4">
      <w:start w:val="1"/>
      <w:numFmt w:val="lowerLetter"/>
      <w:lvlText w:val="%1."/>
      <w:lvlJc w:val="left"/>
      <w:pPr>
        <w:ind w:left="720" w:hanging="360"/>
      </w:pPr>
    </w:lvl>
    <w:lvl w:ilvl="1" w:tplc="FAB69E94" w:tentative="1">
      <w:start w:val="1"/>
      <w:numFmt w:val="lowerLetter"/>
      <w:lvlText w:val="%2."/>
      <w:lvlJc w:val="left"/>
      <w:pPr>
        <w:ind w:left="1440" w:hanging="360"/>
      </w:pPr>
    </w:lvl>
    <w:lvl w:ilvl="2" w:tplc="F99C84B8" w:tentative="1">
      <w:start w:val="1"/>
      <w:numFmt w:val="lowerRoman"/>
      <w:lvlText w:val="%3."/>
      <w:lvlJc w:val="right"/>
      <w:pPr>
        <w:ind w:left="2160" w:hanging="180"/>
      </w:pPr>
    </w:lvl>
    <w:lvl w:ilvl="3" w:tplc="FCFA9240" w:tentative="1">
      <w:start w:val="1"/>
      <w:numFmt w:val="decimal"/>
      <w:lvlText w:val="%4."/>
      <w:lvlJc w:val="left"/>
      <w:pPr>
        <w:ind w:left="2880" w:hanging="360"/>
      </w:pPr>
    </w:lvl>
    <w:lvl w:ilvl="4" w:tplc="3E967A88" w:tentative="1">
      <w:start w:val="1"/>
      <w:numFmt w:val="lowerLetter"/>
      <w:lvlText w:val="%5."/>
      <w:lvlJc w:val="left"/>
      <w:pPr>
        <w:ind w:left="3600" w:hanging="360"/>
      </w:pPr>
    </w:lvl>
    <w:lvl w:ilvl="5" w:tplc="4BE2B498" w:tentative="1">
      <w:start w:val="1"/>
      <w:numFmt w:val="lowerRoman"/>
      <w:lvlText w:val="%6."/>
      <w:lvlJc w:val="right"/>
      <w:pPr>
        <w:ind w:left="4320" w:hanging="180"/>
      </w:pPr>
    </w:lvl>
    <w:lvl w:ilvl="6" w:tplc="A9584694" w:tentative="1">
      <w:start w:val="1"/>
      <w:numFmt w:val="decimal"/>
      <w:lvlText w:val="%7."/>
      <w:lvlJc w:val="left"/>
      <w:pPr>
        <w:ind w:left="5040" w:hanging="360"/>
      </w:pPr>
    </w:lvl>
    <w:lvl w:ilvl="7" w:tplc="15A826E0" w:tentative="1">
      <w:start w:val="1"/>
      <w:numFmt w:val="lowerLetter"/>
      <w:lvlText w:val="%8."/>
      <w:lvlJc w:val="left"/>
      <w:pPr>
        <w:ind w:left="5760" w:hanging="360"/>
      </w:pPr>
    </w:lvl>
    <w:lvl w:ilvl="8" w:tplc="EB62BBEC" w:tentative="1">
      <w:start w:val="1"/>
      <w:numFmt w:val="lowerRoman"/>
      <w:lvlText w:val="%9."/>
      <w:lvlJc w:val="right"/>
      <w:pPr>
        <w:ind w:left="6480" w:hanging="180"/>
      </w:pPr>
    </w:lvl>
  </w:abstractNum>
  <w:abstractNum w:abstractNumId="15" w15:restartNumberingAfterBreak="0">
    <w:nsid w:val="1D92238D"/>
    <w:multiLevelType w:val="hybridMultilevel"/>
    <w:tmpl w:val="F3640608"/>
    <w:lvl w:ilvl="0" w:tplc="44E0CAA6">
      <w:start w:val="1"/>
      <w:numFmt w:val="bullet"/>
      <w:lvlText w:val=""/>
      <w:lvlJc w:val="left"/>
      <w:pPr>
        <w:ind w:left="720" w:hanging="360"/>
      </w:pPr>
      <w:rPr>
        <w:rFonts w:ascii="Symbol" w:hAnsi="Symbol" w:hint="default"/>
      </w:rPr>
    </w:lvl>
    <w:lvl w:ilvl="1" w:tplc="BF04A888" w:tentative="1">
      <w:start w:val="1"/>
      <w:numFmt w:val="bullet"/>
      <w:lvlText w:val="o"/>
      <w:lvlJc w:val="left"/>
      <w:pPr>
        <w:ind w:left="1440" w:hanging="360"/>
      </w:pPr>
      <w:rPr>
        <w:rFonts w:ascii="Courier New" w:hAnsi="Courier New" w:cs="Courier New" w:hint="default"/>
      </w:rPr>
    </w:lvl>
    <w:lvl w:ilvl="2" w:tplc="DBF86212" w:tentative="1">
      <w:start w:val="1"/>
      <w:numFmt w:val="bullet"/>
      <w:lvlText w:val=""/>
      <w:lvlJc w:val="left"/>
      <w:pPr>
        <w:ind w:left="2160" w:hanging="360"/>
      </w:pPr>
      <w:rPr>
        <w:rFonts w:ascii="Wingdings" w:hAnsi="Wingdings" w:hint="default"/>
      </w:rPr>
    </w:lvl>
    <w:lvl w:ilvl="3" w:tplc="B67C68A0" w:tentative="1">
      <w:start w:val="1"/>
      <w:numFmt w:val="bullet"/>
      <w:lvlText w:val=""/>
      <w:lvlJc w:val="left"/>
      <w:pPr>
        <w:ind w:left="2880" w:hanging="360"/>
      </w:pPr>
      <w:rPr>
        <w:rFonts w:ascii="Symbol" w:hAnsi="Symbol" w:hint="default"/>
      </w:rPr>
    </w:lvl>
    <w:lvl w:ilvl="4" w:tplc="34DAF022" w:tentative="1">
      <w:start w:val="1"/>
      <w:numFmt w:val="bullet"/>
      <w:lvlText w:val="o"/>
      <w:lvlJc w:val="left"/>
      <w:pPr>
        <w:ind w:left="3600" w:hanging="360"/>
      </w:pPr>
      <w:rPr>
        <w:rFonts w:ascii="Courier New" w:hAnsi="Courier New" w:cs="Courier New" w:hint="default"/>
      </w:rPr>
    </w:lvl>
    <w:lvl w:ilvl="5" w:tplc="EBCEF22C" w:tentative="1">
      <w:start w:val="1"/>
      <w:numFmt w:val="bullet"/>
      <w:lvlText w:val=""/>
      <w:lvlJc w:val="left"/>
      <w:pPr>
        <w:ind w:left="4320" w:hanging="360"/>
      </w:pPr>
      <w:rPr>
        <w:rFonts w:ascii="Wingdings" w:hAnsi="Wingdings" w:hint="default"/>
      </w:rPr>
    </w:lvl>
    <w:lvl w:ilvl="6" w:tplc="19483F04" w:tentative="1">
      <w:start w:val="1"/>
      <w:numFmt w:val="bullet"/>
      <w:lvlText w:val=""/>
      <w:lvlJc w:val="left"/>
      <w:pPr>
        <w:ind w:left="5040" w:hanging="360"/>
      </w:pPr>
      <w:rPr>
        <w:rFonts w:ascii="Symbol" w:hAnsi="Symbol" w:hint="default"/>
      </w:rPr>
    </w:lvl>
    <w:lvl w:ilvl="7" w:tplc="F126E8B8" w:tentative="1">
      <w:start w:val="1"/>
      <w:numFmt w:val="bullet"/>
      <w:lvlText w:val="o"/>
      <w:lvlJc w:val="left"/>
      <w:pPr>
        <w:ind w:left="5760" w:hanging="360"/>
      </w:pPr>
      <w:rPr>
        <w:rFonts w:ascii="Courier New" w:hAnsi="Courier New" w:cs="Courier New" w:hint="default"/>
      </w:rPr>
    </w:lvl>
    <w:lvl w:ilvl="8" w:tplc="93FA617A" w:tentative="1">
      <w:start w:val="1"/>
      <w:numFmt w:val="bullet"/>
      <w:lvlText w:val=""/>
      <w:lvlJc w:val="left"/>
      <w:pPr>
        <w:ind w:left="6480" w:hanging="360"/>
      </w:pPr>
      <w:rPr>
        <w:rFonts w:ascii="Wingdings" w:hAnsi="Wingdings" w:hint="default"/>
      </w:rPr>
    </w:lvl>
  </w:abstractNum>
  <w:abstractNum w:abstractNumId="16" w15:restartNumberingAfterBreak="0">
    <w:nsid w:val="20807BF2"/>
    <w:multiLevelType w:val="hybridMultilevel"/>
    <w:tmpl w:val="75966BD2"/>
    <w:lvl w:ilvl="0" w:tplc="2DE4FAAC">
      <w:start w:val="1"/>
      <w:numFmt w:val="bullet"/>
      <w:lvlText w:val=""/>
      <w:lvlJc w:val="left"/>
      <w:pPr>
        <w:ind w:left="720" w:hanging="360"/>
      </w:pPr>
      <w:rPr>
        <w:rFonts w:ascii="Symbol" w:hAnsi="Symbol" w:hint="default"/>
      </w:rPr>
    </w:lvl>
    <w:lvl w:ilvl="1" w:tplc="231413CC" w:tentative="1">
      <w:start w:val="1"/>
      <w:numFmt w:val="bullet"/>
      <w:lvlText w:val="o"/>
      <w:lvlJc w:val="left"/>
      <w:pPr>
        <w:ind w:left="1440" w:hanging="360"/>
      </w:pPr>
      <w:rPr>
        <w:rFonts w:ascii="Courier New" w:hAnsi="Courier New" w:cs="Courier New" w:hint="default"/>
      </w:rPr>
    </w:lvl>
    <w:lvl w:ilvl="2" w:tplc="C90A3BE0" w:tentative="1">
      <w:start w:val="1"/>
      <w:numFmt w:val="bullet"/>
      <w:lvlText w:val=""/>
      <w:lvlJc w:val="left"/>
      <w:pPr>
        <w:ind w:left="2160" w:hanging="360"/>
      </w:pPr>
      <w:rPr>
        <w:rFonts w:ascii="Wingdings" w:hAnsi="Wingdings" w:hint="default"/>
      </w:rPr>
    </w:lvl>
    <w:lvl w:ilvl="3" w:tplc="7EC24ABE" w:tentative="1">
      <w:start w:val="1"/>
      <w:numFmt w:val="bullet"/>
      <w:lvlText w:val=""/>
      <w:lvlJc w:val="left"/>
      <w:pPr>
        <w:ind w:left="2880" w:hanging="360"/>
      </w:pPr>
      <w:rPr>
        <w:rFonts w:ascii="Symbol" w:hAnsi="Symbol" w:hint="default"/>
      </w:rPr>
    </w:lvl>
    <w:lvl w:ilvl="4" w:tplc="B59EFCDE" w:tentative="1">
      <w:start w:val="1"/>
      <w:numFmt w:val="bullet"/>
      <w:lvlText w:val="o"/>
      <w:lvlJc w:val="left"/>
      <w:pPr>
        <w:ind w:left="3600" w:hanging="360"/>
      </w:pPr>
      <w:rPr>
        <w:rFonts w:ascii="Courier New" w:hAnsi="Courier New" w:cs="Courier New" w:hint="default"/>
      </w:rPr>
    </w:lvl>
    <w:lvl w:ilvl="5" w:tplc="704C707C" w:tentative="1">
      <w:start w:val="1"/>
      <w:numFmt w:val="bullet"/>
      <w:lvlText w:val=""/>
      <w:lvlJc w:val="left"/>
      <w:pPr>
        <w:ind w:left="4320" w:hanging="360"/>
      </w:pPr>
      <w:rPr>
        <w:rFonts w:ascii="Wingdings" w:hAnsi="Wingdings" w:hint="default"/>
      </w:rPr>
    </w:lvl>
    <w:lvl w:ilvl="6" w:tplc="D4DC7D32" w:tentative="1">
      <w:start w:val="1"/>
      <w:numFmt w:val="bullet"/>
      <w:lvlText w:val=""/>
      <w:lvlJc w:val="left"/>
      <w:pPr>
        <w:ind w:left="5040" w:hanging="360"/>
      </w:pPr>
      <w:rPr>
        <w:rFonts w:ascii="Symbol" w:hAnsi="Symbol" w:hint="default"/>
      </w:rPr>
    </w:lvl>
    <w:lvl w:ilvl="7" w:tplc="8BEEA07E" w:tentative="1">
      <w:start w:val="1"/>
      <w:numFmt w:val="bullet"/>
      <w:lvlText w:val="o"/>
      <w:lvlJc w:val="left"/>
      <w:pPr>
        <w:ind w:left="5760" w:hanging="360"/>
      </w:pPr>
      <w:rPr>
        <w:rFonts w:ascii="Courier New" w:hAnsi="Courier New" w:cs="Courier New" w:hint="default"/>
      </w:rPr>
    </w:lvl>
    <w:lvl w:ilvl="8" w:tplc="9BE045C0" w:tentative="1">
      <w:start w:val="1"/>
      <w:numFmt w:val="bullet"/>
      <w:lvlText w:val=""/>
      <w:lvlJc w:val="left"/>
      <w:pPr>
        <w:ind w:left="6480" w:hanging="360"/>
      </w:pPr>
      <w:rPr>
        <w:rFonts w:ascii="Wingdings" w:hAnsi="Wingdings" w:hint="default"/>
      </w:rPr>
    </w:lvl>
  </w:abstractNum>
  <w:abstractNum w:abstractNumId="17" w15:restartNumberingAfterBreak="0">
    <w:nsid w:val="224D1196"/>
    <w:multiLevelType w:val="multilevel"/>
    <w:tmpl w:val="238AB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C013D3"/>
    <w:multiLevelType w:val="hybridMultilevel"/>
    <w:tmpl w:val="5B78610C"/>
    <w:lvl w:ilvl="0" w:tplc="167E5A4A">
      <w:start w:val="1"/>
      <w:numFmt w:val="bullet"/>
      <w:lvlText w:val=""/>
      <w:lvlJc w:val="left"/>
      <w:pPr>
        <w:ind w:left="720" w:hanging="360"/>
      </w:pPr>
      <w:rPr>
        <w:rFonts w:ascii="Symbol" w:hAnsi="Symbol" w:hint="default"/>
      </w:rPr>
    </w:lvl>
    <w:lvl w:ilvl="1" w:tplc="26446998" w:tentative="1">
      <w:start w:val="1"/>
      <w:numFmt w:val="bullet"/>
      <w:lvlText w:val="o"/>
      <w:lvlJc w:val="left"/>
      <w:pPr>
        <w:ind w:left="1440" w:hanging="360"/>
      </w:pPr>
      <w:rPr>
        <w:rFonts w:ascii="Courier New" w:hAnsi="Courier New" w:cs="Courier New" w:hint="default"/>
      </w:rPr>
    </w:lvl>
    <w:lvl w:ilvl="2" w:tplc="81E4971C" w:tentative="1">
      <w:start w:val="1"/>
      <w:numFmt w:val="bullet"/>
      <w:lvlText w:val=""/>
      <w:lvlJc w:val="left"/>
      <w:pPr>
        <w:ind w:left="2160" w:hanging="360"/>
      </w:pPr>
      <w:rPr>
        <w:rFonts w:ascii="Wingdings" w:hAnsi="Wingdings" w:hint="default"/>
      </w:rPr>
    </w:lvl>
    <w:lvl w:ilvl="3" w:tplc="AD3672E8" w:tentative="1">
      <w:start w:val="1"/>
      <w:numFmt w:val="bullet"/>
      <w:lvlText w:val=""/>
      <w:lvlJc w:val="left"/>
      <w:pPr>
        <w:ind w:left="2880" w:hanging="360"/>
      </w:pPr>
      <w:rPr>
        <w:rFonts w:ascii="Symbol" w:hAnsi="Symbol" w:hint="default"/>
      </w:rPr>
    </w:lvl>
    <w:lvl w:ilvl="4" w:tplc="B3323C6C" w:tentative="1">
      <w:start w:val="1"/>
      <w:numFmt w:val="bullet"/>
      <w:lvlText w:val="o"/>
      <w:lvlJc w:val="left"/>
      <w:pPr>
        <w:ind w:left="3600" w:hanging="360"/>
      </w:pPr>
      <w:rPr>
        <w:rFonts w:ascii="Courier New" w:hAnsi="Courier New" w:cs="Courier New" w:hint="default"/>
      </w:rPr>
    </w:lvl>
    <w:lvl w:ilvl="5" w:tplc="43E047FE" w:tentative="1">
      <w:start w:val="1"/>
      <w:numFmt w:val="bullet"/>
      <w:lvlText w:val=""/>
      <w:lvlJc w:val="left"/>
      <w:pPr>
        <w:ind w:left="4320" w:hanging="360"/>
      </w:pPr>
      <w:rPr>
        <w:rFonts w:ascii="Wingdings" w:hAnsi="Wingdings" w:hint="default"/>
      </w:rPr>
    </w:lvl>
    <w:lvl w:ilvl="6" w:tplc="5F640F16" w:tentative="1">
      <w:start w:val="1"/>
      <w:numFmt w:val="bullet"/>
      <w:lvlText w:val=""/>
      <w:lvlJc w:val="left"/>
      <w:pPr>
        <w:ind w:left="5040" w:hanging="360"/>
      </w:pPr>
      <w:rPr>
        <w:rFonts w:ascii="Symbol" w:hAnsi="Symbol" w:hint="default"/>
      </w:rPr>
    </w:lvl>
    <w:lvl w:ilvl="7" w:tplc="29645D8E" w:tentative="1">
      <w:start w:val="1"/>
      <w:numFmt w:val="bullet"/>
      <w:lvlText w:val="o"/>
      <w:lvlJc w:val="left"/>
      <w:pPr>
        <w:ind w:left="5760" w:hanging="360"/>
      </w:pPr>
      <w:rPr>
        <w:rFonts w:ascii="Courier New" w:hAnsi="Courier New" w:cs="Courier New" w:hint="default"/>
      </w:rPr>
    </w:lvl>
    <w:lvl w:ilvl="8" w:tplc="87B6F004" w:tentative="1">
      <w:start w:val="1"/>
      <w:numFmt w:val="bullet"/>
      <w:lvlText w:val=""/>
      <w:lvlJc w:val="left"/>
      <w:pPr>
        <w:ind w:left="6480" w:hanging="360"/>
      </w:pPr>
      <w:rPr>
        <w:rFonts w:ascii="Wingdings" w:hAnsi="Wingdings" w:hint="default"/>
      </w:rPr>
    </w:lvl>
  </w:abstractNum>
  <w:abstractNum w:abstractNumId="19" w15:restartNumberingAfterBreak="0">
    <w:nsid w:val="3A382D74"/>
    <w:multiLevelType w:val="multilevel"/>
    <w:tmpl w:val="111E15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413CF"/>
    <w:multiLevelType w:val="multilevel"/>
    <w:tmpl w:val="361E8250"/>
    <w:lvl w:ilvl="0">
      <w:start w:val="1"/>
      <w:numFmt w:val="decimal"/>
      <w:lvlText w:val="%1."/>
      <w:lvlJc w:val="left"/>
      <w:pPr>
        <w:ind w:left="396" w:hanging="284"/>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25" w:hanging="356"/>
        <w:jc w:val="left"/>
      </w:pPr>
      <w:rPr>
        <w:rFonts w:hint="default"/>
        <w:spacing w:val="0"/>
        <w:w w:val="100"/>
        <w:lang w:val="en-US" w:eastAsia="en-US" w:bidi="ar-SA"/>
      </w:rPr>
    </w:lvl>
    <w:lvl w:ilvl="2">
      <w:numFmt w:val="bullet"/>
      <w:lvlText w:val="•"/>
      <w:lvlJc w:val="left"/>
      <w:pPr>
        <w:ind w:left="840" w:hanging="356"/>
      </w:pPr>
      <w:rPr>
        <w:rFonts w:hint="default"/>
        <w:lang w:val="en-US" w:eastAsia="en-US" w:bidi="ar-SA"/>
      </w:rPr>
    </w:lvl>
    <w:lvl w:ilvl="3">
      <w:numFmt w:val="bullet"/>
      <w:lvlText w:val="•"/>
      <w:lvlJc w:val="left"/>
      <w:pPr>
        <w:ind w:left="1697" w:hanging="356"/>
      </w:pPr>
      <w:rPr>
        <w:rFonts w:hint="default"/>
        <w:lang w:val="en-US" w:eastAsia="en-US" w:bidi="ar-SA"/>
      </w:rPr>
    </w:lvl>
    <w:lvl w:ilvl="4">
      <w:numFmt w:val="bullet"/>
      <w:lvlText w:val="•"/>
      <w:lvlJc w:val="left"/>
      <w:pPr>
        <w:ind w:left="2554" w:hanging="356"/>
      </w:pPr>
      <w:rPr>
        <w:rFonts w:hint="default"/>
        <w:lang w:val="en-US" w:eastAsia="en-US" w:bidi="ar-SA"/>
      </w:rPr>
    </w:lvl>
    <w:lvl w:ilvl="5">
      <w:numFmt w:val="bullet"/>
      <w:lvlText w:val="•"/>
      <w:lvlJc w:val="left"/>
      <w:pPr>
        <w:ind w:left="3411" w:hanging="356"/>
      </w:pPr>
      <w:rPr>
        <w:rFonts w:hint="default"/>
        <w:lang w:val="en-US" w:eastAsia="en-US" w:bidi="ar-SA"/>
      </w:rPr>
    </w:lvl>
    <w:lvl w:ilvl="6">
      <w:numFmt w:val="bullet"/>
      <w:lvlText w:val="•"/>
      <w:lvlJc w:val="left"/>
      <w:pPr>
        <w:ind w:left="4269" w:hanging="356"/>
      </w:pPr>
      <w:rPr>
        <w:rFonts w:hint="default"/>
        <w:lang w:val="en-US" w:eastAsia="en-US" w:bidi="ar-SA"/>
      </w:rPr>
    </w:lvl>
    <w:lvl w:ilvl="7">
      <w:numFmt w:val="bullet"/>
      <w:lvlText w:val="•"/>
      <w:lvlJc w:val="left"/>
      <w:pPr>
        <w:ind w:left="5126" w:hanging="356"/>
      </w:pPr>
      <w:rPr>
        <w:rFonts w:hint="default"/>
        <w:lang w:val="en-US" w:eastAsia="en-US" w:bidi="ar-SA"/>
      </w:rPr>
    </w:lvl>
    <w:lvl w:ilvl="8">
      <w:numFmt w:val="bullet"/>
      <w:lvlText w:val="•"/>
      <w:lvlJc w:val="left"/>
      <w:pPr>
        <w:ind w:left="5983" w:hanging="356"/>
      </w:pPr>
      <w:rPr>
        <w:rFonts w:hint="default"/>
        <w:lang w:val="en-US" w:eastAsia="en-US" w:bidi="ar-SA"/>
      </w:rPr>
    </w:lvl>
  </w:abstractNum>
  <w:abstractNum w:abstractNumId="21" w15:restartNumberingAfterBreak="0">
    <w:nsid w:val="403C7D9D"/>
    <w:multiLevelType w:val="hybridMultilevel"/>
    <w:tmpl w:val="63DED540"/>
    <w:lvl w:ilvl="0" w:tplc="2A08C432">
      <w:start w:val="1"/>
      <w:numFmt w:val="bullet"/>
      <w:lvlText w:val=""/>
      <w:lvlJc w:val="left"/>
      <w:pPr>
        <w:ind w:left="720" w:hanging="360"/>
      </w:pPr>
      <w:rPr>
        <w:rFonts w:ascii="Symbol" w:hAnsi="Symbol" w:hint="default"/>
      </w:rPr>
    </w:lvl>
    <w:lvl w:ilvl="1" w:tplc="6598F602" w:tentative="1">
      <w:start w:val="1"/>
      <w:numFmt w:val="bullet"/>
      <w:lvlText w:val="o"/>
      <w:lvlJc w:val="left"/>
      <w:pPr>
        <w:ind w:left="1440" w:hanging="360"/>
      </w:pPr>
      <w:rPr>
        <w:rFonts w:ascii="Courier New" w:hAnsi="Courier New" w:cs="Courier New" w:hint="default"/>
      </w:rPr>
    </w:lvl>
    <w:lvl w:ilvl="2" w:tplc="770ED6EE" w:tentative="1">
      <w:start w:val="1"/>
      <w:numFmt w:val="bullet"/>
      <w:lvlText w:val=""/>
      <w:lvlJc w:val="left"/>
      <w:pPr>
        <w:ind w:left="2160" w:hanging="360"/>
      </w:pPr>
      <w:rPr>
        <w:rFonts w:ascii="Wingdings" w:hAnsi="Wingdings" w:hint="default"/>
      </w:rPr>
    </w:lvl>
    <w:lvl w:ilvl="3" w:tplc="DF9E68B6" w:tentative="1">
      <w:start w:val="1"/>
      <w:numFmt w:val="bullet"/>
      <w:lvlText w:val=""/>
      <w:lvlJc w:val="left"/>
      <w:pPr>
        <w:ind w:left="2880" w:hanging="360"/>
      </w:pPr>
      <w:rPr>
        <w:rFonts w:ascii="Symbol" w:hAnsi="Symbol" w:hint="default"/>
      </w:rPr>
    </w:lvl>
    <w:lvl w:ilvl="4" w:tplc="8CCE55EA" w:tentative="1">
      <w:start w:val="1"/>
      <w:numFmt w:val="bullet"/>
      <w:lvlText w:val="o"/>
      <w:lvlJc w:val="left"/>
      <w:pPr>
        <w:ind w:left="3600" w:hanging="360"/>
      </w:pPr>
      <w:rPr>
        <w:rFonts w:ascii="Courier New" w:hAnsi="Courier New" w:cs="Courier New" w:hint="default"/>
      </w:rPr>
    </w:lvl>
    <w:lvl w:ilvl="5" w:tplc="7DF0D502" w:tentative="1">
      <w:start w:val="1"/>
      <w:numFmt w:val="bullet"/>
      <w:lvlText w:val=""/>
      <w:lvlJc w:val="left"/>
      <w:pPr>
        <w:ind w:left="4320" w:hanging="360"/>
      </w:pPr>
      <w:rPr>
        <w:rFonts w:ascii="Wingdings" w:hAnsi="Wingdings" w:hint="default"/>
      </w:rPr>
    </w:lvl>
    <w:lvl w:ilvl="6" w:tplc="3D624316" w:tentative="1">
      <w:start w:val="1"/>
      <w:numFmt w:val="bullet"/>
      <w:lvlText w:val=""/>
      <w:lvlJc w:val="left"/>
      <w:pPr>
        <w:ind w:left="5040" w:hanging="360"/>
      </w:pPr>
      <w:rPr>
        <w:rFonts w:ascii="Symbol" w:hAnsi="Symbol" w:hint="default"/>
      </w:rPr>
    </w:lvl>
    <w:lvl w:ilvl="7" w:tplc="1A50C960" w:tentative="1">
      <w:start w:val="1"/>
      <w:numFmt w:val="bullet"/>
      <w:lvlText w:val="o"/>
      <w:lvlJc w:val="left"/>
      <w:pPr>
        <w:ind w:left="5760" w:hanging="360"/>
      </w:pPr>
      <w:rPr>
        <w:rFonts w:ascii="Courier New" w:hAnsi="Courier New" w:cs="Courier New" w:hint="default"/>
      </w:rPr>
    </w:lvl>
    <w:lvl w:ilvl="8" w:tplc="0C64DC58" w:tentative="1">
      <w:start w:val="1"/>
      <w:numFmt w:val="bullet"/>
      <w:lvlText w:val=""/>
      <w:lvlJc w:val="left"/>
      <w:pPr>
        <w:ind w:left="6480" w:hanging="360"/>
      </w:pPr>
      <w:rPr>
        <w:rFonts w:ascii="Wingdings" w:hAnsi="Wingdings" w:hint="default"/>
      </w:rPr>
    </w:lvl>
  </w:abstractNum>
  <w:abstractNum w:abstractNumId="22" w15:restartNumberingAfterBreak="0">
    <w:nsid w:val="484E1DB1"/>
    <w:multiLevelType w:val="hybridMultilevel"/>
    <w:tmpl w:val="5F50F0B4"/>
    <w:lvl w:ilvl="0" w:tplc="28C0A728">
      <w:start w:val="1"/>
      <w:numFmt w:val="lowerLetter"/>
      <w:lvlText w:val="%1)"/>
      <w:lvlJc w:val="left"/>
      <w:pPr>
        <w:ind w:left="720" w:hanging="360"/>
      </w:pPr>
    </w:lvl>
    <w:lvl w:ilvl="1" w:tplc="4C84C19C">
      <w:start w:val="1"/>
      <w:numFmt w:val="lowerLetter"/>
      <w:lvlText w:val="%2."/>
      <w:lvlJc w:val="left"/>
      <w:pPr>
        <w:ind w:left="1440" w:hanging="360"/>
      </w:pPr>
    </w:lvl>
    <w:lvl w:ilvl="2" w:tplc="EF52C0E4">
      <w:start w:val="1"/>
      <w:numFmt w:val="lowerRoman"/>
      <w:lvlText w:val="%3."/>
      <w:lvlJc w:val="right"/>
      <w:pPr>
        <w:ind w:left="2160" w:hanging="180"/>
      </w:pPr>
    </w:lvl>
    <w:lvl w:ilvl="3" w:tplc="9BD26D62">
      <w:start w:val="1"/>
      <w:numFmt w:val="decimal"/>
      <w:lvlText w:val="%4."/>
      <w:lvlJc w:val="left"/>
      <w:pPr>
        <w:ind w:left="2880" w:hanging="360"/>
      </w:pPr>
    </w:lvl>
    <w:lvl w:ilvl="4" w:tplc="B36A8BB6">
      <w:start w:val="1"/>
      <w:numFmt w:val="lowerLetter"/>
      <w:lvlText w:val="%5."/>
      <w:lvlJc w:val="left"/>
      <w:pPr>
        <w:ind w:left="3600" w:hanging="360"/>
      </w:pPr>
    </w:lvl>
    <w:lvl w:ilvl="5" w:tplc="52B8D9B2">
      <w:start w:val="1"/>
      <w:numFmt w:val="lowerRoman"/>
      <w:lvlText w:val="%6."/>
      <w:lvlJc w:val="right"/>
      <w:pPr>
        <w:ind w:left="4320" w:hanging="180"/>
      </w:pPr>
    </w:lvl>
    <w:lvl w:ilvl="6" w:tplc="FACAA322">
      <w:start w:val="1"/>
      <w:numFmt w:val="decimal"/>
      <w:lvlText w:val="%7."/>
      <w:lvlJc w:val="left"/>
      <w:pPr>
        <w:ind w:left="5040" w:hanging="360"/>
      </w:pPr>
    </w:lvl>
    <w:lvl w:ilvl="7" w:tplc="DB90E684">
      <w:start w:val="1"/>
      <w:numFmt w:val="lowerLetter"/>
      <w:lvlText w:val="%8."/>
      <w:lvlJc w:val="left"/>
      <w:pPr>
        <w:ind w:left="5760" w:hanging="360"/>
      </w:pPr>
    </w:lvl>
    <w:lvl w:ilvl="8" w:tplc="ED58F9A4">
      <w:start w:val="1"/>
      <w:numFmt w:val="lowerRoman"/>
      <w:lvlText w:val="%9."/>
      <w:lvlJc w:val="right"/>
      <w:pPr>
        <w:ind w:left="6480" w:hanging="180"/>
      </w:pPr>
    </w:lvl>
  </w:abstractNum>
  <w:abstractNum w:abstractNumId="23" w15:restartNumberingAfterBreak="0">
    <w:nsid w:val="565E1F7A"/>
    <w:multiLevelType w:val="multilevel"/>
    <w:tmpl w:val="111E15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62942"/>
    <w:multiLevelType w:val="multilevel"/>
    <w:tmpl w:val="03DAF9D4"/>
    <w:lvl w:ilvl="0">
      <w:start w:val="4"/>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b/>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6C56CB6"/>
    <w:multiLevelType w:val="hybridMultilevel"/>
    <w:tmpl w:val="83A6DE2C"/>
    <w:lvl w:ilvl="0" w:tplc="8B14F724">
      <w:start w:val="1"/>
      <w:numFmt w:val="decimal"/>
      <w:lvlText w:val="%1."/>
      <w:lvlJc w:val="left"/>
      <w:pPr>
        <w:ind w:left="720" w:hanging="360"/>
      </w:pPr>
    </w:lvl>
    <w:lvl w:ilvl="1" w:tplc="C0A640B6" w:tentative="1">
      <w:start w:val="1"/>
      <w:numFmt w:val="lowerLetter"/>
      <w:lvlText w:val="%2."/>
      <w:lvlJc w:val="left"/>
      <w:pPr>
        <w:ind w:left="1440" w:hanging="360"/>
      </w:pPr>
    </w:lvl>
    <w:lvl w:ilvl="2" w:tplc="1AC0B070" w:tentative="1">
      <w:start w:val="1"/>
      <w:numFmt w:val="lowerRoman"/>
      <w:lvlText w:val="%3."/>
      <w:lvlJc w:val="right"/>
      <w:pPr>
        <w:ind w:left="2160" w:hanging="180"/>
      </w:pPr>
    </w:lvl>
    <w:lvl w:ilvl="3" w:tplc="4A96C3AA" w:tentative="1">
      <w:start w:val="1"/>
      <w:numFmt w:val="decimal"/>
      <w:lvlText w:val="%4."/>
      <w:lvlJc w:val="left"/>
      <w:pPr>
        <w:ind w:left="2880" w:hanging="360"/>
      </w:pPr>
    </w:lvl>
    <w:lvl w:ilvl="4" w:tplc="F53E0072" w:tentative="1">
      <w:start w:val="1"/>
      <w:numFmt w:val="lowerLetter"/>
      <w:lvlText w:val="%5."/>
      <w:lvlJc w:val="left"/>
      <w:pPr>
        <w:ind w:left="3600" w:hanging="360"/>
      </w:pPr>
    </w:lvl>
    <w:lvl w:ilvl="5" w:tplc="624EE1BE" w:tentative="1">
      <w:start w:val="1"/>
      <w:numFmt w:val="lowerRoman"/>
      <w:lvlText w:val="%6."/>
      <w:lvlJc w:val="right"/>
      <w:pPr>
        <w:ind w:left="4320" w:hanging="180"/>
      </w:pPr>
    </w:lvl>
    <w:lvl w:ilvl="6" w:tplc="DB04C094" w:tentative="1">
      <w:start w:val="1"/>
      <w:numFmt w:val="decimal"/>
      <w:lvlText w:val="%7."/>
      <w:lvlJc w:val="left"/>
      <w:pPr>
        <w:ind w:left="5040" w:hanging="360"/>
      </w:pPr>
    </w:lvl>
    <w:lvl w:ilvl="7" w:tplc="7A987D44" w:tentative="1">
      <w:start w:val="1"/>
      <w:numFmt w:val="lowerLetter"/>
      <w:lvlText w:val="%8."/>
      <w:lvlJc w:val="left"/>
      <w:pPr>
        <w:ind w:left="5760" w:hanging="360"/>
      </w:pPr>
    </w:lvl>
    <w:lvl w:ilvl="8" w:tplc="0D9457EA" w:tentative="1">
      <w:start w:val="1"/>
      <w:numFmt w:val="lowerRoman"/>
      <w:lvlText w:val="%9."/>
      <w:lvlJc w:val="right"/>
      <w:pPr>
        <w:ind w:left="6480" w:hanging="180"/>
      </w:pPr>
    </w:lvl>
  </w:abstractNum>
  <w:abstractNum w:abstractNumId="26" w15:restartNumberingAfterBreak="0">
    <w:nsid w:val="6A7C77D8"/>
    <w:multiLevelType w:val="hybridMultilevel"/>
    <w:tmpl w:val="C2328190"/>
    <w:lvl w:ilvl="0" w:tplc="E8A83A8E">
      <w:start w:val="1"/>
      <w:numFmt w:val="bullet"/>
      <w:lvlText w:val=""/>
      <w:lvlJc w:val="left"/>
      <w:pPr>
        <w:ind w:left="720" w:hanging="360"/>
      </w:pPr>
      <w:rPr>
        <w:rFonts w:ascii="Symbol" w:hAnsi="Symbol" w:hint="default"/>
      </w:rPr>
    </w:lvl>
    <w:lvl w:ilvl="1" w:tplc="AA8C57A0" w:tentative="1">
      <w:start w:val="1"/>
      <w:numFmt w:val="bullet"/>
      <w:lvlText w:val="o"/>
      <w:lvlJc w:val="left"/>
      <w:pPr>
        <w:ind w:left="1440" w:hanging="360"/>
      </w:pPr>
      <w:rPr>
        <w:rFonts w:ascii="Courier New" w:hAnsi="Courier New" w:cs="Courier New" w:hint="default"/>
      </w:rPr>
    </w:lvl>
    <w:lvl w:ilvl="2" w:tplc="E81ABAE4" w:tentative="1">
      <w:start w:val="1"/>
      <w:numFmt w:val="bullet"/>
      <w:lvlText w:val=""/>
      <w:lvlJc w:val="left"/>
      <w:pPr>
        <w:ind w:left="2160" w:hanging="360"/>
      </w:pPr>
      <w:rPr>
        <w:rFonts w:ascii="Wingdings" w:hAnsi="Wingdings" w:hint="default"/>
      </w:rPr>
    </w:lvl>
    <w:lvl w:ilvl="3" w:tplc="48CC1116" w:tentative="1">
      <w:start w:val="1"/>
      <w:numFmt w:val="bullet"/>
      <w:lvlText w:val=""/>
      <w:lvlJc w:val="left"/>
      <w:pPr>
        <w:ind w:left="2880" w:hanging="360"/>
      </w:pPr>
      <w:rPr>
        <w:rFonts w:ascii="Symbol" w:hAnsi="Symbol" w:hint="default"/>
      </w:rPr>
    </w:lvl>
    <w:lvl w:ilvl="4" w:tplc="F8A435B0" w:tentative="1">
      <w:start w:val="1"/>
      <w:numFmt w:val="bullet"/>
      <w:lvlText w:val="o"/>
      <w:lvlJc w:val="left"/>
      <w:pPr>
        <w:ind w:left="3600" w:hanging="360"/>
      </w:pPr>
      <w:rPr>
        <w:rFonts w:ascii="Courier New" w:hAnsi="Courier New" w:cs="Courier New" w:hint="default"/>
      </w:rPr>
    </w:lvl>
    <w:lvl w:ilvl="5" w:tplc="F9CC8FEE" w:tentative="1">
      <w:start w:val="1"/>
      <w:numFmt w:val="bullet"/>
      <w:lvlText w:val=""/>
      <w:lvlJc w:val="left"/>
      <w:pPr>
        <w:ind w:left="4320" w:hanging="360"/>
      </w:pPr>
      <w:rPr>
        <w:rFonts w:ascii="Wingdings" w:hAnsi="Wingdings" w:hint="default"/>
      </w:rPr>
    </w:lvl>
    <w:lvl w:ilvl="6" w:tplc="10D8B2EC" w:tentative="1">
      <w:start w:val="1"/>
      <w:numFmt w:val="bullet"/>
      <w:lvlText w:val=""/>
      <w:lvlJc w:val="left"/>
      <w:pPr>
        <w:ind w:left="5040" w:hanging="360"/>
      </w:pPr>
      <w:rPr>
        <w:rFonts w:ascii="Symbol" w:hAnsi="Symbol" w:hint="default"/>
      </w:rPr>
    </w:lvl>
    <w:lvl w:ilvl="7" w:tplc="BBE0FB2A" w:tentative="1">
      <w:start w:val="1"/>
      <w:numFmt w:val="bullet"/>
      <w:lvlText w:val="o"/>
      <w:lvlJc w:val="left"/>
      <w:pPr>
        <w:ind w:left="5760" w:hanging="360"/>
      </w:pPr>
      <w:rPr>
        <w:rFonts w:ascii="Courier New" w:hAnsi="Courier New" w:cs="Courier New" w:hint="default"/>
      </w:rPr>
    </w:lvl>
    <w:lvl w:ilvl="8" w:tplc="3D262D48" w:tentative="1">
      <w:start w:val="1"/>
      <w:numFmt w:val="bullet"/>
      <w:lvlText w:val=""/>
      <w:lvlJc w:val="left"/>
      <w:pPr>
        <w:ind w:left="6480" w:hanging="360"/>
      </w:pPr>
      <w:rPr>
        <w:rFonts w:ascii="Wingdings" w:hAnsi="Wingdings" w:hint="default"/>
      </w:rPr>
    </w:lvl>
  </w:abstractNum>
  <w:abstractNum w:abstractNumId="27" w15:restartNumberingAfterBreak="0">
    <w:nsid w:val="6C392272"/>
    <w:multiLevelType w:val="multilevel"/>
    <w:tmpl w:val="6B78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E617C"/>
    <w:multiLevelType w:val="hybridMultilevel"/>
    <w:tmpl w:val="55342854"/>
    <w:lvl w:ilvl="0" w:tplc="65DAF9FA">
      <w:start w:val="1"/>
      <w:numFmt w:val="bullet"/>
      <w:lvlText w:val=""/>
      <w:lvlJc w:val="left"/>
      <w:pPr>
        <w:ind w:left="1080" w:hanging="360"/>
      </w:pPr>
      <w:rPr>
        <w:rFonts w:ascii="Symbol" w:hAnsi="Symbol" w:hint="default"/>
      </w:rPr>
    </w:lvl>
    <w:lvl w:ilvl="1" w:tplc="71646E86" w:tentative="1">
      <w:start w:val="1"/>
      <w:numFmt w:val="bullet"/>
      <w:lvlText w:val="o"/>
      <w:lvlJc w:val="left"/>
      <w:pPr>
        <w:ind w:left="1800" w:hanging="360"/>
      </w:pPr>
      <w:rPr>
        <w:rFonts w:ascii="Courier New" w:hAnsi="Courier New" w:cs="Courier New" w:hint="default"/>
      </w:rPr>
    </w:lvl>
    <w:lvl w:ilvl="2" w:tplc="90B64070" w:tentative="1">
      <w:start w:val="1"/>
      <w:numFmt w:val="bullet"/>
      <w:lvlText w:val=""/>
      <w:lvlJc w:val="left"/>
      <w:pPr>
        <w:ind w:left="2520" w:hanging="360"/>
      </w:pPr>
      <w:rPr>
        <w:rFonts w:ascii="Wingdings" w:hAnsi="Wingdings" w:hint="default"/>
      </w:rPr>
    </w:lvl>
    <w:lvl w:ilvl="3" w:tplc="88D83938" w:tentative="1">
      <w:start w:val="1"/>
      <w:numFmt w:val="bullet"/>
      <w:lvlText w:val=""/>
      <w:lvlJc w:val="left"/>
      <w:pPr>
        <w:ind w:left="3240" w:hanging="360"/>
      </w:pPr>
      <w:rPr>
        <w:rFonts w:ascii="Symbol" w:hAnsi="Symbol" w:hint="default"/>
      </w:rPr>
    </w:lvl>
    <w:lvl w:ilvl="4" w:tplc="958ECF52" w:tentative="1">
      <w:start w:val="1"/>
      <w:numFmt w:val="bullet"/>
      <w:lvlText w:val="o"/>
      <w:lvlJc w:val="left"/>
      <w:pPr>
        <w:ind w:left="3960" w:hanging="360"/>
      </w:pPr>
      <w:rPr>
        <w:rFonts w:ascii="Courier New" w:hAnsi="Courier New" w:cs="Courier New" w:hint="default"/>
      </w:rPr>
    </w:lvl>
    <w:lvl w:ilvl="5" w:tplc="2AB4B272" w:tentative="1">
      <w:start w:val="1"/>
      <w:numFmt w:val="bullet"/>
      <w:lvlText w:val=""/>
      <w:lvlJc w:val="left"/>
      <w:pPr>
        <w:ind w:left="4680" w:hanging="360"/>
      </w:pPr>
      <w:rPr>
        <w:rFonts w:ascii="Wingdings" w:hAnsi="Wingdings" w:hint="default"/>
      </w:rPr>
    </w:lvl>
    <w:lvl w:ilvl="6" w:tplc="4EB26D0E" w:tentative="1">
      <w:start w:val="1"/>
      <w:numFmt w:val="bullet"/>
      <w:lvlText w:val=""/>
      <w:lvlJc w:val="left"/>
      <w:pPr>
        <w:ind w:left="5400" w:hanging="360"/>
      </w:pPr>
      <w:rPr>
        <w:rFonts w:ascii="Symbol" w:hAnsi="Symbol" w:hint="default"/>
      </w:rPr>
    </w:lvl>
    <w:lvl w:ilvl="7" w:tplc="277AEAD0" w:tentative="1">
      <w:start w:val="1"/>
      <w:numFmt w:val="bullet"/>
      <w:lvlText w:val="o"/>
      <w:lvlJc w:val="left"/>
      <w:pPr>
        <w:ind w:left="6120" w:hanging="360"/>
      </w:pPr>
      <w:rPr>
        <w:rFonts w:ascii="Courier New" w:hAnsi="Courier New" w:cs="Courier New" w:hint="default"/>
      </w:rPr>
    </w:lvl>
    <w:lvl w:ilvl="8" w:tplc="C1EC1D22" w:tentative="1">
      <w:start w:val="1"/>
      <w:numFmt w:val="bullet"/>
      <w:lvlText w:val=""/>
      <w:lvlJc w:val="left"/>
      <w:pPr>
        <w:ind w:left="6840" w:hanging="360"/>
      </w:pPr>
      <w:rPr>
        <w:rFonts w:ascii="Wingdings" w:hAnsi="Wingdings" w:hint="default"/>
      </w:rPr>
    </w:lvl>
  </w:abstractNum>
  <w:abstractNum w:abstractNumId="29" w15:restartNumberingAfterBreak="0">
    <w:nsid w:val="766E2A91"/>
    <w:multiLevelType w:val="multilevel"/>
    <w:tmpl w:val="111E15F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24FAE"/>
    <w:multiLevelType w:val="multilevel"/>
    <w:tmpl w:val="26A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B21A0"/>
    <w:multiLevelType w:val="multilevel"/>
    <w:tmpl w:val="7F6E0C54"/>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BFE0FC9"/>
    <w:multiLevelType w:val="multilevel"/>
    <w:tmpl w:val="6610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582649">
    <w:abstractNumId w:val="20"/>
  </w:num>
  <w:num w:numId="2" w16cid:durableId="1159927385">
    <w:abstractNumId w:val="19"/>
  </w:num>
  <w:num w:numId="3" w16cid:durableId="758912450">
    <w:abstractNumId w:val="17"/>
  </w:num>
  <w:num w:numId="4" w16cid:durableId="856967943">
    <w:abstractNumId w:val="27"/>
  </w:num>
  <w:num w:numId="5" w16cid:durableId="838353449">
    <w:abstractNumId w:val="32"/>
  </w:num>
  <w:num w:numId="6" w16cid:durableId="1304233439">
    <w:abstractNumId w:val="30"/>
  </w:num>
  <w:num w:numId="7" w16cid:durableId="610160745">
    <w:abstractNumId w:val="13"/>
  </w:num>
  <w:num w:numId="8" w16cid:durableId="605045433">
    <w:abstractNumId w:val="23"/>
  </w:num>
  <w:num w:numId="9" w16cid:durableId="1130590830">
    <w:abstractNumId w:val="18"/>
  </w:num>
  <w:num w:numId="10" w16cid:durableId="569267372">
    <w:abstractNumId w:val="21"/>
  </w:num>
  <w:num w:numId="11" w16cid:durableId="100732892">
    <w:abstractNumId w:val="26"/>
  </w:num>
  <w:num w:numId="12" w16cid:durableId="209004711">
    <w:abstractNumId w:val="29"/>
  </w:num>
  <w:num w:numId="13" w16cid:durableId="1837843018">
    <w:abstractNumId w:val="28"/>
  </w:num>
  <w:num w:numId="14" w16cid:durableId="33502048">
    <w:abstractNumId w:val="8"/>
  </w:num>
  <w:num w:numId="15" w16cid:durableId="1968974432">
    <w:abstractNumId w:val="11"/>
  </w:num>
  <w:num w:numId="16" w16cid:durableId="1196575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976">
    <w:abstractNumId w:val="25"/>
  </w:num>
  <w:num w:numId="18" w16cid:durableId="459499812">
    <w:abstractNumId w:val="0"/>
  </w:num>
  <w:num w:numId="19" w16cid:durableId="80412839">
    <w:abstractNumId w:val="1"/>
  </w:num>
  <w:num w:numId="20" w16cid:durableId="1820656801">
    <w:abstractNumId w:val="2"/>
  </w:num>
  <w:num w:numId="21" w16cid:durableId="2091728946">
    <w:abstractNumId w:val="3"/>
  </w:num>
  <w:num w:numId="22" w16cid:durableId="2119829533">
    <w:abstractNumId w:val="4"/>
  </w:num>
  <w:num w:numId="23" w16cid:durableId="1405301017">
    <w:abstractNumId w:val="5"/>
  </w:num>
  <w:num w:numId="24" w16cid:durableId="413935793">
    <w:abstractNumId w:val="6"/>
  </w:num>
  <w:num w:numId="25" w16cid:durableId="882448684">
    <w:abstractNumId w:val="7"/>
  </w:num>
  <w:num w:numId="26" w16cid:durableId="1606380270">
    <w:abstractNumId w:val="31"/>
  </w:num>
  <w:num w:numId="27" w16cid:durableId="2082480091">
    <w:abstractNumId w:val="24"/>
  </w:num>
  <w:num w:numId="28" w16cid:durableId="234171367">
    <w:abstractNumId w:val="9"/>
  </w:num>
  <w:num w:numId="29" w16cid:durableId="1642691961">
    <w:abstractNumId w:val="14"/>
  </w:num>
  <w:num w:numId="30" w16cid:durableId="1704553800">
    <w:abstractNumId w:val="12"/>
  </w:num>
  <w:num w:numId="31" w16cid:durableId="1710957113">
    <w:abstractNumId w:val="10"/>
  </w:num>
  <w:num w:numId="32" w16cid:durableId="1734692189">
    <w:abstractNumId w:val="16"/>
  </w:num>
  <w:num w:numId="33" w16cid:durableId="7564849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C2tDQ1NzCwNDMyNzJW0lEKTi0uzszPAykwqgUA9s+XlCwAAAA="/>
  </w:docVars>
  <w:rsids>
    <w:rsidRoot w:val="00B26526"/>
    <w:rsid w:val="00017EBE"/>
    <w:rsid w:val="00055678"/>
    <w:rsid w:val="00067557"/>
    <w:rsid w:val="0009638E"/>
    <w:rsid w:val="000B45E6"/>
    <w:rsid w:val="000D23E0"/>
    <w:rsid w:val="00102A96"/>
    <w:rsid w:val="00111138"/>
    <w:rsid w:val="00144DBB"/>
    <w:rsid w:val="00161788"/>
    <w:rsid w:val="001637FE"/>
    <w:rsid w:val="00183565"/>
    <w:rsid w:val="00185FB3"/>
    <w:rsid w:val="00191BCA"/>
    <w:rsid w:val="00193137"/>
    <w:rsid w:val="001B1BF9"/>
    <w:rsid w:val="001C095A"/>
    <w:rsid w:val="001C5F01"/>
    <w:rsid w:val="001C7B9B"/>
    <w:rsid w:val="001D1358"/>
    <w:rsid w:val="002026E5"/>
    <w:rsid w:val="00240B98"/>
    <w:rsid w:val="002411B1"/>
    <w:rsid w:val="00255D0A"/>
    <w:rsid w:val="002721F6"/>
    <w:rsid w:val="002802ED"/>
    <w:rsid w:val="00284AF3"/>
    <w:rsid w:val="002C5A30"/>
    <w:rsid w:val="002D1321"/>
    <w:rsid w:val="002D38EB"/>
    <w:rsid w:val="002F1571"/>
    <w:rsid w:val="00301753"/>
    <w:rsid w:val="003451C7"/>
    <w:rsid w:val="003576CB"/>
    <w:rsid w:val="00367958"/>
    <w:rsid w:val="00391631"/>
    <w:rsid w:val="003965BC"/>
    <w:rsid w:val="003A01C0"/>
    <w:rsid w:val="003C36E7"/>
    <w:rsid w:val="003D62A3"/>
    <w:rsid w:val="003E6668"/>
    <w:rsid w:val="00425278"/>
    <w:rsid w:val="0043436C"/>
    <w:rsid w:val="00450FB4"/>
    <w:rsid w:val="00457821"/>
    <w:rsid w:val="0049376F"/>
    <w:rsid w:val="004A245E"/>
    <w:rsid w:val="004E4869"/>
    <w:rsid w:val="004F5D1E"/>
    <w:rsid w:val="00505139"/>
    <w:rsid w:val="00514B9F"/>
    <w:rsid w:val="00521242"/>
    <w:rsid w:val="00576032"/>
    <w:rsid w:val="00590CFE"/>
    <w:rsid w:val="005A3F01"/>
    <w:rsid w:val="005C7F9C"/>
    <w:rsid w:val="005E28D0"/>
    <w:rsid w:val="00601BF8"/>
    <w:rsid w:val="006507FB"/>
    <w:rsid w:val="006643FE"/>
    <w:rsid w:val="00664BD0"/>
    <w:rsid w:val="006861C1"/>
    <w:rsid w:val="00690E0E"/>
    <w:rsid w:val="006E4DA8"/>
    <w:rsid w:val="00704719"/>
    <w:rsid w:val="00707BDD"/>
    <w:rsid w:val="007121A0"/>
    <w:rsid w:val="00770462"/>
    <w:rsid w:val="00780020"/>
    <w:rsid w:val="007B0B7E"/>
    <w:rsid w:val="007D71F3"/>
    <w:rsid w:val="007E2ACC"/>
    <w:rsid w:val="00883724"/>
    <w:rsid w:val="008838C3"/>
    <w:rsid w:val="008B5740"/>
    <w:rsid w:val="008C180C"/>
    <w:rsid w:val="009874DB"/>
    <w:rsid w:val="00992602"/>
    <w:rsid w:val="00993A2B"/>
    <w:rsid w:val="0099626E"/>
    <w:rsid w:val="009E37B1"/>
    <w:rsid w:val="009F4F54"/>
    <w:rsid w:val="00A1471C"/>
    <w:rsid w:val="00A23396"/>
    <w:rsid w:val="00A7243C"/>
    <w:rsid w:val="00A95558"/>
    <w:rsid w:val="00AC09FD"/>
    <w:rsid w:val="00AC4F44"/>
    <w:rsid w:val="00AD7033"/>
    <w:rsid w:val="00AF676D"/>
    <w:rsid w:val="00AF702C"/>
    <w:rsid w:val="00B26526"/>
    <w:rsid w:val="00B320F5"/>
    <w:rsid w:val="00B431C3"/>
    <w:rsid w:val="00B76E26"/>
    <w:rsid w:val="00BB1789"/>
    <w:rsid w:val="00C57842"/>
    <w:rsid w:val="00C75A2D"/>
    <w:rsid w:val="00CA38EF"/>
    <w:rsid w:val="00CB4BB5"/>
    <w:rsid w:val="00CE5087"/>
    <w:rsid w:val="00CE69A0"/>
    <w:rsid w:val="00CE7C29"/>
    <w:rsid w:val="00D02BBF"/>
    <w:rsid w:val="00D136C6"/>
    <w:rsid w:val="00D611B5"/>
    <w:rsid w:val="00D67080"/>
    <w:rsid w:val="00DA6995"/>
    <w:rsid w:val="00DB3D04"/>
    <w:rsid w:val="00DB56FC"/>
    <w:rsid w:val="00E03197"/>
    <w:rsid w:val="00E22B20"/>
    <w:rsid w:val="00E302E5"/>
    <w:rsid w:val="00E71126"/>
    <w:rsid w:val="00E733B5"/>
    <w:rsid w:val="00E9611E"/>
    <w:rsid w:val="00EB7F82"/>
    <w:rsid w:val="00F07271"/>
    <w:rsid w:val="00F26E24"/>
    <w:rsid w:val="00F6781D"/>
    <w:rsid w:val="00F72D35"/>
    <w:rsid w:val="00F75E89"/>
    <w:rsid w:val="00FB7949"/>
    <w:rsid w:val="00FD5E2C"/>
  </w:rsids>
  <m:mathPr>
    <m:mathFont m:val="Cambria Math"/>
    <m:brkBin m:val="before"/>
    <m:brkBinSub m:val="--"/>
    <m:smallFrac m:val="0"/>
    <m:dispDef/>
    <m:lMargin m:val="0"/>
    <m:rMargin m:val="0"/>
    <m:defJc m:val="centerGroup"/>
    <m:wrapIndent m:val="1440"/>
    <m:intLim m:val="subSup"/>
    <m:naryLim m:val="undOvr"/>
  </m:mathPr>
  <w:themeFontLang w:val="en-ID"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BC73C"/>
  <w15:docId w15:val="{AD3C0531-9F51-4CC8-A309-B702DD2F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Heading1">
    <w:name w:val="heading 1"/>
    <w:basedOn w:val="Normal"/>
    <w:qFormat/>
    <w:pPr>
      <w:ind w:left="112"/>
      <w:outlineLvl w:val="0"/>
    </w:pPr>
    <w:rPr>
      <w:b/>
      <w:bCs/>
      <w:sz w:val="24"/>
      <w:szCs w:val="24"/>
    </w:rPr>
  </w:style>
  <w:style w:type="paragraph" w:styleId="Heading2">
    <w:name w:val="heading 2"/>
    <w:aliases w:val="Research Paper Heading 2"/>
    <w:basedOn w:val="Normal"/>
    <w:unhideWhenUsed/>
    <w:qFormat/>
    <w:pPr>
      <w:ind w:left="831" w:hanging="359"/>
      <w:jc w:val="both"/>
      <w:outlineLvl w:val="1"/>
    </w:pPr>
    <w:rPr>
      <w:b/>
      <w:bCs/>
    </w:rPr>
  </w:style>
  <w:style w:type="paragraph" w:styleId="Heading3">
    <w:name w:val="heading 3"/>
    <w:basedOn w:val="Normal"/>
    <w:unhideWhenUsed/>
    <w:qFormat/>
    <w:pPr>
      <w:ind w:left="831" w:hanging="359"/>
      <w:jc w:val="both"/>
      <w:outlineLvl w:val="2"/>
    </w:pPr>
    <w:rPr>
      <w:b/>
      <w:bCs/>
      <w:sz w:val="21"/>
      <w:szCs w:val="21"/>
    </w:rPr>
  </w:style>
  <w:style w:type="paragraph" w:styleId="Heading4">
    <w:name w:val="heading 4"/>
    <w:basedOn w:val="Normal"/>
    <w:next w:val="Normal"/>
    <w:link w:val="Heading4Char"/>
    <w:unhideWhenUsed/>
    <w:qFormat/>
    <w:rsid w:val="002802E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9E37B1"/>
    <w:pPr>
      <w:keepNext/>
      <w:keepLines/>
      <w:widowControl/>
      <w:autoSpaceDE/>
      <w:autoSpaceDN/>
      <w:spacing w:before="220" w:after="40" w:line="259" w:lineRule="auto"/>
      <w:outlineLvl w:val="4"/>
    </w:pPr>
    <w:rPr>
      <w:rFonts w:ascii="Calibri" w:eastAsia="Calibri" w:hAnsi="Calibri" w:cs="Calibri"/>
      <w:b/>
      <w:lang w:eastAsia="en-IN"/>
    </w:rPr>
  </w:style>
  <w:style w:type="paragraph" w:styleId="Heading6">
    <w:name w:val="heading 6"/>
    <w:basedOn w:val="Normal"/>
    <w:next w:val="Normal"/>
    <w:link w:val="Heading6Char"/>
    <w:unhideWhenUsed/>
    <w:qFormat/>
    <w:rsid w:val="009E37B1"/>
    <w:pPr>
      <w:keepNext/>
      <w:keepLines/>
      <w:widowControl/>
      <w:autoSpaceDE/>
      <w:autoSpaceDN/>
      <w:spacing w:before="200" w:after="40" w:line="259" w:lineRule="auto"/>
      <w:outlineLvl w:val="5"/>
    </w:pPr>
    <w:rPr>
      <w:rFonts w:ascii="Calibri" w:eastAsia="Calibri" w:hAnsi="Calibri" w:cs="Calibri"/>
      <w:b/>
      <w:sz w:val="20"/>
      <w:szCs w:val="20"/>
      <w:lang w:eastAsia="en-IN"/>
    </w:rPr>
  </w:style>
  <w:style w:type="paragraph" w:styleId="Heading7">
    <w:name w:val="heading 7"/>
    <w:basedOn w:val="Normal"/>
    <w:next w:val="BodyText"/>
    <w:link w:val="Heading7Char"/>
    <w:qFormat/>
    <w:rsid w:val="00A95558"/>
    <w:pPr>
      <w:widowControl/>
      <w:tabs>
        <w:tab w:val="num" w:pos="2901"/>
      </w:tabs>
      <w:suppressAutoHyphens/>
      <w:autoSpaceDE/>
      <w:autoSpaceDN/>
      <w:spacing w:before="240" w:after="60" w:line="480" w:lineRule="auto"/>
      <w:ind w:left="7221"/>
      <w:outlineLvl w:val="6"/>
    </w:pPr>
    <w:rPr>
      <w:rFonts w:ascii="Calibri" w:hAnsi="Calibri" w:cs="Arial"/>
      <w:color w:val="000000"/>
      <w:kern w:val="1"/>
      <w:sz w:val="24"/>
      <w:szCs w:val="24"/>
      <w:lang w:eastAsia="ar-SA"/>
    </w:rPr>
  </w:style>
  <w:style w:type="paragraph" w:styleId="Heading8">
    <w:name w:val="heading 8"/>
    <w:basedOn w:val="Normal"/>
    <w:next w:val="BodyText"/>
    <w:link w:val="Heading8Char"/>
    <w:qFormat/>
    <w:rsid w:val="00A95558"/>
    <w:pPr>
      <w:widowControl/>
      <w:tabs>
        <w:tab w:val="num" w:pos="2901"/>
      </w:tabs>
      <w:suppressAutoHyphens/>
      <w:autoSpaceDE/>
      <w:autoSpaceDN/>
      <w:spacing w:before="240" w:after="60" w:line="480" w:lineRule="auto"/>
      <w:ind w:left="7941"/>
      <w:outlineLvl w:val="7"/>
    </w:pPr>
    <w:rPr>
      <w:rFonts w:ascii="Calibri" w:hAnsi="Calibri" w:cs="Arial"/>
      <w:i/>
      <w:iCs/>
      <w:color w:val="000000"/>
      <w:kern w:val="1"/>
      <w:sz w:val="24"/>
      <w:szCs w:val="24"/>
      <w:lang w:eastAsia="ar-SA"/>
    </w:rPr>
  </w:style>
  <w:style w:type="paragraph" w:styleId="Heading9">
    <w:name w:val="heading 9"/>
    <w:basedOn w:val="Normal"/>
    <w:next w:val="BodyText"/>
    <w:link w:val="Heading9Char"/>
    <w:qFormat/>
    <w:rsid w:val="00A95558"/>
    <w:pPr>
      <w:widowControl/>
      <w:tabs>
        <w:tab w:val="num" w:pos="2901"/>
      </w:tabs>
      <w:suppressAutoHyphens/>
      <w:autoSpaceDE/>
      <w:autoSpaceDN/>
      <w:spacing w:before="240" w:after="60" w:line="480" w:lineRule="auto"/>
      <w:ind w:left="8661"/>
      <w:outlineLvl w:val="8"/>
    </w:pPr>
    <w:rPr>
      <w:rFonts w:ascii="Cambria" w:hAnsi="Cambria" w:cs="Arial"/>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20"/>
      <w:szCs w:val="20"/>
    </w:rPr>
  </w:style>
  <w:style w:type="paragraph" w:styleId="Title">
    <w:name w:val="Title"/>
    <w:basedOn w:val="Normal"/>
    <w:uiPriority w:val="10"/>
    <w:qFormat/>
    <w:pPr>
      <w:spacing w:before="15"/>
      <w:ind w:left="112" w:right="239"/>
    </w:pPr>
    <w:rPr>
      <w:b/>
      <w:bCs/>
      <w:sz w:val="28"/>
      <w:szCs w:val="28"/>
    </w:rPr>
  </w:style>
  <w:style w:type="paragraph" w:styleId="ListParagraph">
    <w:name w:val="List Paragraph"/>
    <w:basedOn w:val="Normal"/>
    <w:qFormat/>
    <w:pPr>
      <w:ind w:left="831"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7C29"/>
    <w:pPr>
      <w:tabs>
        <w:tab w:val="center" w:pos="4680"/>
        <w:tab w:val="right" w:pos="9360"/>
      </w:tabs>
    </w:pPr>
  </w:style>
  <w:style w:type="character" w:customStyle="1" w:styleId="HeaderChar">
    <w:name w:val="Header Char"/>
    <w:basedOn w:val="DefaultParagraphFont"/>
    <w:link w:val="Header"/>
    <w:uiPriority w:val="99"/>
    <w:rsid w:val="00CE7C29"/>
    <w:rPr>
      <w:rFonts w:ascii="Times New Roman" w:eastAsia="Times New Roman" w:hAnsi="Times New Roman" w:cs="Times New Roman"/>
    </w:rPr>
  </w:style>
  <w:style w:type="paragraph" w:styleId="Footer">
    <w:name w:val="footer"/>
    <w:basedOn w:val="Normal"/>
    <w:link w:val="FooterChar"/>
    <w:uiPriority w:val="99"/>
    <w:unhideWhenUsed/>
    <w:rsid w:val="00CE7C29"/>
    <w:pPr>
      <w:tabs>
        <w:tab w:val="center" w:pos="4680"/>
        <w:tab w:val="right" w:pos="9360"/>
      </w:tabs>
    </w:pPr>
  </w:style>
  <w:style w:type="character" w:customStyle="1" w:styleId="FooterChar">
    <w:name w:val="Footer Char"/>
    <w:basedOn w:val="DefaultParagraphFont"/>
    <w:link w:val="Footer"/>
    <w:uiPriority w:val="99"/>
    <w:rsid w:val="00CE7C29"/>
    <w:rPr>
      <w:rFonts w:ascii="Times New Roman" w:eastAsia="Times New Roman" w:hAnsi="Times New Roman" w:cs="Times New Roman"/>
    </w:rPr>
  </w:style>
  <w:style w:type="character" w:styleId="Hyperlink">
    <w:name w:val="Hyperlink"/>
    <w:basedOn w:val="DefaultParagraphFont"/>
    <w:unhideWhenUsed/>
    <w:rsid w:val="007D71F3"/>
    <w:rPr>
      <w:color w:val="0000FF" w:themeColor="hyperlink"/>
      <w:u w:val="single"/>
    </w:rPr>
  </w:style>
  <w:style w:type="character" w:styleId="UnresolvedMention">
    <w:name w:val="Unresolved Mention"/>
    <w:basedOn w:val="DefaultParagraphFont"/>
    <w:uiPriority w:val="99"/>
    <w:semiHidden/>
    <w:unhideWhenUsed/>
    <w:rsid w:val="007D71F3"/>
    <w:rPr>
      <w:color w:val="605E5C"/>
      <w:shd w:val="clear" w:color="auto" w:fill="E1DFDD"/>
    </w:rPr>
  </w:style>
  <w:style w:type="paragraph" w:customStyle="1" w:styleId="Default">
    <w:name w:val="Default"/>
    <w:rsid w:val="00664BD0"/>
    <w:pPr>
      <w:widowControl/>
      <w:adjustRightInd w:val="0"/>
    </w:pPr>
    <w:rPr>
      <w:rFonts w:ascii="Times New Roman" w:hAnsi="Times New Roman" w:cs="Times New Roman"/>
      <w:color w:val="000000"/>
      <w:sz w:val="24"/>
      <w:szCs w:val="24"/>
      <w:lang w:val="en-ID"/>
    </w:rPr>
  </w:style>
  <w:style w:type="paragraph" w:styleId="FootnoteText">
    <w:name w:val="footnote text"/>
    <w:basedOn w:val="Normal"/>
    <w:link w:val="FootnoteTextChar"/>
    <w:uiPriority w:val="99"/>
    <w:semiHidden/>
    <w:unhideWhenUsed/>
    <w:rsid w:val="00FB7949"/>
    <w:rPr>
      <w:sz w:val="20"/>
      <w:szCs w:val="20"/>
    </w:rPr>
  </w:style>
  <w:style w:type="character" w:customStyle="1" w:styleId="FootnoteTextChar">
    <w:name w:val="Footnote Text Char"/>
    <w:basedOn w:val="DefaultParagraphFont"/>
    <w:link w:val="FootnoteText"/>
    <w:uiPriority w:val="99"/>
    <w:semiHidden/>
    <w:rsid w:val="00FB794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B7949"/>
    <w:rPr>
      <w:vertAlign w:val="superscript"/>
    </w:rPr>
  </w:style>
  <w:style w:type="character" w:customStyle="1" w:styleId="Heading4Char">
    <w:name w:val="Heading 4 Char"/>
    <w:basedOn w:val="DefaultParagraphFont"/>
    <w:link w:val="Heading4"/>
    <w:rsid w:val="002802E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802ED"/>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nhideWhenUsed/>
    <w:rsid w:val="00B76E26"/>
  </w:style>
  <w:style w:type="character" w:customStyle="1" w:styleId="Heading5Char">
    <w:name w:val="Heading 5 Char"/>
    <w:basedOn w:val="DefaultParagraphFont"/>
    <w:link w:val="Heading5"/>
    <w:rsid w:val="009E37B1"/>
    <w:rPr>
      <w:rFonts w:ascii="Calibri" w:eastAsia="Calibri" w:hAnsi="Calibri" w:cs="Calibri"/>
      <w:b/>
      <w:lang w:eastAsia="en-IN"/>
    </w:rPr>
  </w:style>
  <w:style w:type="character" w:customStyle="1" w:styleId="Heading6Char">
    <w:name w:val="Heading 6 Char"/>
    <w:basedOn w:val="DefaultParagraphFont"/>
    <w:link w:val="Heading6"/>
    <w:rsid w:val="009E37B1"/>
    <w:rPr>
      <w:rFonts w:ascii="Calibri" w:eastAsia="Calibri" w:hAnsi="Calibri" w:cs="Calibri"/>
      <w:b/>
      <w:sz w:val="20"/>
      <w:szCs w:val="20"/>
      <w:lang w:eastAsia="en-IN"/>
    </w:rPr>
  </w:style>
  <w:style w:type="numbering" w:customStyle="1" w:styleId="NoList1">
    <w:name w:val="No List1"/>
    <w:next w:val="NoList"/>
    <w:uiPriority w:val="99"/>
    <w:semiHidden/>
    <w:unhideWhenUsed/>
    <w:rsid w:val="009E37B1"/>
  </w:style>
  <w:style w:type="paragraph" w:styleId="Subtitle">
    <w:name w:val="Subtitle"/>
    <w:basedOn w:val="Normal"/>
    <w:next w:val="Normal"/>
    <w:link w:val="SubtitleChar"/>
    <w:uiPriority w:val="11"/>
    <w:qFormat/>
    <w:rsid w:val="009E37B1"/>
    <w:pPr>
      <w:keepNext/>
      <w:keepLines/>
      <w:widowControl/>
      <w:autoSpaceDE/>
      <w:autoSpaceDN/>
      <w:spacing w:before="360" w:after="80" w:line="259" w:lineRule="auto"/>
    </w:pPr>
    <w:rPr>
      <w:rFonts w:ascii="Georgia" w:eastAsia="Georgia" w:hAnsi="Georgia" w:cs="Georgia"/>
      <w:i/>
      <w:color w:val="666666"/>
      <w:sz w:val="48"/>
      <w:szCs w:val="48"/>
      <w:lang w:eastAsia="en-IN"/>
    </w:rPr>
  </w:style>
  <w:style w:type="character" w:customStyle="1" w:styleId="SubtitleChar">
    <w:name w:val="Subtitle Char"/>
    <w:basedOn w:val="DefaultParagraphFont"/>
    <w:link w:val="Subtitle"/>
    <w:uiPriority w:val="11"/>
    <w:rsid w:val="009E37B1"/>
    <w:rPr>
      <w:rFonts w:ascii="Georgia" w:eastAsia="Georgia" w:hAnsi="Georgia" w:cs="Georgia"/>
      <w:i/>
      <w:color w:val="666666"/>
      <w:sz w:val="48"/>
      <w:szCs w:val="48"/>
      <w:lang w:eastAsia="en-IN"/>
    </w:rPr>
  </w:style>
  <w:style w:type="paragraph" w:styleId="CommentText">
    <w:name w:val="annotation text"/>
    <w:basedOn w:val="Normal"/>
    <w:link w:val="CommentTextChar"/>
    <w:uiPriority w:val="99"/>
    <w:semiHidden/>
    <w:unhideWhenUsed/>
    <w:rsid w:val="009E37B1"/>
    <w:pPr>
      <w:widowControl/>
      <w:autoSpaceDE/>
      <w:autoSpaceDN/>
      <w:spacing w:after="160"/>
    </w:pPr>
    <w:rPr>
      <w:rFonts w:ascii="Calibri" w:eastAsia="Calibri" w:hAnsi="Calibri" w:cs="Calibri"/>
      <w:sz w:val="20"/>
      <w:szCs w:val="20"/>
      <w:lang w:eastAsia="en-IN"/>
    </w:rPr>
  </w:style>
  <w:style w:type="character" w:customStyle="1" w:styleId="CommentTextChar">
    <w:name w:val="Comment Text Char"/>
    <w:basedOn w:val="DefaultParagraphFont"/>
    <w:link w:val="CommentText"/>
    <w:rsid w:val="009E37B1"/>
    <w:rPr>
      <w:rFonts w:ascii="Calibri" w:eastAsia="Calibri" w:hAnsi="Calibri" w:cs="Calibri"/>
      <w:sz w:val="20"/>
      <w:szCs w:val="20"/>
      <w:lang w:eastAsia="en-IN"/>
    </w:rPr>
  </w:style>
  <w:style w:type="character" w:styleId="CommentReference">
    <w:name w:val="annotation reference"/>
    <w:basedOn w:val="DefaultParagraphFont"/>
    <w:uiPriority w:val="99"/>
    <w:semiHidden/>
    <w:unhideWhenUsed/>
    <w:rsid w:val="009E37B1"/>
    <w:rPr>
      <w:sz w:val="16"/>
      <w:szCs w:val="16"/>
    </w:rPr>
  </w:style>
  <w:style w:type="paragraph" w:styleId="Revision">
    <w:name w:val="Revision"/>
    <w:hidden/>
    <w:rsid w:val="009E37B1"/>
    <w:pPr>
      <w:widowControl/>
      <w:autoSpaceDE/>
      <w:autoSpaceDN/>
    </w:pPr>
    <w:rPr>
      <w:rFonts w:ascii="Calibri" w:eastAsia="Calibri" w:hAnsi="Calibri" w:cs="Calibri"/>
      <w:lang w:eastAsia="en-IN"/>
    </w:rPr>
  </w:style>
  <w:style w:type="paragraph" w:styleId="NormalWeb">
    <w:name w:val="Normal (Web)"/>
    <w:basedOn w:val="Normal"/>
    <w:unhideWhenUsed/>
    <w:rsid w:val="009E37B1"/>
    <w:pPr>
      <w:widowControl/>
      <w:autoSpaceDE/>
      <w:autoSpaceDN/>
      <w:spacing w:before="100" w:beforeAutospacing="1" w:after="100" w:afterAutospacing="1"/>
    </w:pPr>
    <w:rPr>
      <w:sz w:val="24"/>
      <w:szCs w:val="24"/>
      <w:lang w:val="en-NZ" w:eastAsia="en-NZ"/>
    </w:rPr>
  </w:style>
  <w:style w:type="paragraph" w:styleId="z-TopofForm">
    <w:name w:val="HTML Top of Form"/>
    <w:basedOn w:val="Normal"/>
    <w:next w:val="Normal"/>
    <w:link w:val="z-TopofFormChar"/>
    <w:hidden/>
    <w:uiPriority w:val="99"/>
    <w:semiHidden/>
    <w:unhideWhenUsed/>
    <w:rsid w:val="009E37B1"/>
    <w:pPr>
      <w:widowControl/>
      <w:pBdr>
        <w:bottom w:val="single" w:sz="6" w:space="1" w:color="auto"/>
      </w:pBdr>
      <w:autoSpaceDE/>
      <w:autoSpaceDN/>
      <w:jc w:val="center"/>
    </w:pPr>
    <w:rPr>
      <w:rFonts w:ascii="Arial" w:hAnsi="Arial" w:cs="Arial"/>
      <w:vanish/>
      <w:sz w:val="16"/>
      <w:szCs w:val="16"/>
      <w:lang w:val="en-NZ" w:eastAsia="en-NZ"/>
    </w:rPr>
  </w:style>
  <w:style w:type="character" w:customStyle="1" w:styleId="z-TopofFormChar">
    <w:name w:val="z-Top of Form Char"/>
    <w:basedOn w:val="DefaultParagraphFont"/>
    <w:link w:val="z-TopofForm"/>
    <w:rsid w:val="009E37B1"/>
    <w:rPr>
      <w:rFonts w:ascii="Arial" w:eastAsia="Times New Roman" w:hAnsi="Arial" w:cs="Arial"/>
      <w:vanish/>
      <w:sz w:val="16"/>
      <w:szCs w:val="16"/>
      <w:lang w:val="en-NZ" w:eastAsia="en-NZ"/>
    </w:rPr>
  </w:style>
  <w:style w:type="character" w:customStyle="1" w:styleId="UnresolvedMention1">
    <w:name w:val="Unresolved Mention1"/>
    <w:basedOn w:val="DefaultParagraphFont"/>
    <w:unhideWhenUsed/>
    <w:rsid w:val="009E37B1"/>
    <w:rPr>
      <w:color w:val="605E5C"/>
      <w:shd w:val="clear" w:color="auto" w:fill="E1DFDD"/>
    </w:rPr>
  </w:style>
  <w:style w:type="character" w:customStyle="1" w:styleId="contribblockaff--italic">
    <w:name w:val="contrib_block__aff--italic"/>
    <w:basedOn w:val="DefaultParagraphFont"/>
    <w:rsid w:val="009E37B1"/>
  </w:style>
  <w:style w:type="character" w:customStyle="1" w:styleId="institution">
    <w:name w:val="institution"/>
    <w:basedOn w:val="DefaultParagraphFont"/>
    <w:rsid w:val="009E37B1"/>
  </w:style>
  <w:style w:type="character" w:customStyle="1" w:styleId="country">
    <w:name w:val="country"/>
    <w:basedOn w:val="DefaultParagraphFont"/>
    <w:rsid w:val="009E37B1"/>
  </w:style>
  <w:style w:type="character" w:customStyle="1" w:styleId="given-names">
    <w:name w:val="given-names"/>
    <w:basedOn w:val="DefaultParagraphFont"/>
    <w:rsid w:val="009E37B1"/>
  </w:style>
  <w:style w:type="character" w:customStyle="1" w:styleId="surname">
    <w:name w:val="surname"/>
    <w:basedOn w:val="DefaultParagraphFont"/>
    <w:rsid w:val="009E37B1"/>
  </w:style>
  <w:style w:type="character" w:customStyle="1" w:styleId="Heading7Char">
    <w:name w:val="Heading 7 Char"/>
    <w:basedOn w:val="DefaultParagraphFont"/>
    <w:link w:val="Heading7"/>
    <w:rsid w:val="00A95558"/>
    <w:rPr>
      <w:rFonts w:ascii="Calibri" w:eastAsia="Times New Roman" w:hAnsi="Calibri" w:cs="Arial"/>
      <w:color w:val="000000"/>
      <w:kern w:val="1"/>
      <w:sz w:val="24"/>
      <w:szCs w:val="24"/>
      <w:lang w:eastAsia="ar-SA"/>
    </w:rPr>
  </w:style>
  <w:style w:type="character" w:customStyle="1" w:styleId="Heading8Char">
    <w:name w:val="Heading 8 Char"/>
    <w:basedOn w:val="DefaultParagraphFont"/>
    <w:link w:val="Heading8"/>
    <w:rsid w:val="00A95558"/>
    <w:rPr>
      <w:rFonts w:ascii="Calibri" w:eastAsia="Times New Roman" w:hAnsi="Calibri" w:cs="Arial"/>
      <w:i/>
      <w:iCs/>
      <w:color w:val="000000"/>
      <w:kern w:val="1"/>
      <w:sz w:val="24"/>
      <w:szCs w:val="24"/>
      <w:lang w:eastAsia="ar-SA"/>
    </w:rPr>
  </w:style>
  <w:style w:type="character" w:customStyle="1" w:styleId="Heading9Char">
    <w:name w:val="Heading 9 Char"/>
    <w:basedOn w:val="DefaultParagraphFont"/>
    <w:link w:val="Heading9"/>
    <w:rsid w:val="00A95558"/>
    <w:rPr>
      <w:rFonts w:ascii="Cambria" w:eastAsia="Times New Roman" w:hAnsi="Cambria" w:cs="Arial"/>
      <w:color w:val="000000"/>
      <w:kern w:val="1"/>
      <w:lang w:eastAsia="ar-SA"/>
    </w:rPr>
  </w:style>
  <w:style w:type="numbering" w:customStyle="1" w:styleId="NoList2">
    <w:name w:val="No List2"/>
    <w:next w:val="NoList"/>
    <w:uiPriority w:val="99"/>
    <w:semiHidden/>
    <w:unhideWhenUsed/>
    <w:rsid w:val="00A95558"/>
  </w:style>
  <w:style w:type="character" w:customStyle="1" w:styleId="iimain-txt">
    <w:name w:val="iimain-txt"/>
    <w:basedOn w:val="DefaultParagraphFont"/>
    <w:rsid w:val="00A95558"/>
  </w:style>
  <w:style w:type="character" w:customStyle="1" w:styleId="CommentReference1">
    <w:name w:val="Comment Reference1"/>
    <w:rsid w:val="00A95558"/>
    <w:rPr>
      <w:sz w:val="16"/>
      <w:szCs w:val="16"/>
    </w:rPr>
  </w:style>
  <w:style w:type="character" w:customStyle="1" w:styleId="CommentSubjectChar">
    <w:name w:val="Comment Subject Char"/>
    <w:rsid w:val="00A95558"/>
    <w:rPr>
      <w:b/>
      <w:bCs/>
      <w:lang w:val="en-US"/>
    </w:rPr>
  </w:style>
  <w:style w:type="character" w:customStyle="1" w:styleId="BalloonTextChar">
    <w:name w:val="Balloon Text Char"/>
    <w:rsid w:val="00A95558"/>
    <w:rPr>
      <w:rFonts w:ascii="Tahoma" w:hAnsi="Tahoma" w:cs="Tahoma"/>
      <w:sz w:val="16"/>
      <w:szCs w:val="16"/>
      <w:lang w:val="en-US"/>
    </w:rPr>
  </w:style>
  <w:style w:type="character" w:customStyle="1" w:styleId="PageNumber1">
    <w:name w:val="Page Number1"/>
    <w:basedOn w:val="DefaultParagraphFont"/>
    <w:rsid w:val="00A95558"/>
  </w:style>
  <w:style w:type="character" w:styleId="Emphasis">
    <w:name w:val="Emphasis"/>
    <w:qFormat/>
    <w:rsid w:val="00A95558"/>
    <w:rPr>
      <w:i/>
      <w:iCs/>
    </w:rPr>
  </w:style>
  <w:style w:type="character" w:customStyle="1" w:styleId="apple-converted-space">
    <w:name w:val="apple-converted-space"/>
    <w:basedOn w:val="DefaultParagraphFont"/>
    <w:rsid w:val="00A95558"/>
  </w:style>
  <w:style w:type="character" w:customStyle="1" w:styleId="Heading1Char">
    <w:name w:val="Heading 1 Char"/>
    <w:rsid w:val="00A95558"/>
    <w:rPr>
      <w:rFonts w:ascii="Century Gothic" w:hAnsi="Century Gothic"/>
      <w:b/>
      <w:bCs/>
      <w:sz w:val="24"/>
      <w:szCs w:val="24"/>
      <w:lang w:val="en-US"/>
    </w:rPr>
  </w:style>
  <w:style w:type="character" w:customStyle="1" w:styleId="BodyTextChar">
    <w:name w:val="Body Text Char"/>
    <w:rsid w:val="00A95558"/>
    <w:rPr>
      <w:sz w:val="24"/>
      <w:szCs w:val="24"/>
    </w:rPr>
  </w:style>
  <w:style w:type="character" w:customStyle="1" w:styleId="Heading3Char">
    <w:name w:val="Heading 3 Char"/>
    <w:rsid w:val="00A95558"/>
    <w:rPr>
      <w:rFonts w:ascii="Cambria" w:hAnsi="Cambria"/>
      <w:b/>
      <w:bCs/>
      <w:sz w:val="26"/>
      <w:szCs w:val="26"/>
      <w:lang w:val="en-US"/>
    </w:rPr>
  </w:style>
  <w:style w:type="character" w:styleId="PlaceholderText">
    <w:name w:val="Placeholder Text"/>
    <w:rsid w:val="00A95558"/>
    <w:rPr>
      <w:color w:val="808080"/>
    </w:rPr>
  </w:style>
  <w:style w:type="character" w:customStyle="1" w:styleId="hlfld-abstract">
    <w:name w:val="hlfld-abstract"/>
    <w:basedOn w:val="DefaultParagraphFont"/>
    <w:rsid w:val="00A95558"/>
  </w:style>
  <w:style w:type="character" w:customStyle="1" w:styleId="hit">
    <w:name w:val="hit"/>
    <w:basedOn w:val="DefaultParagraphFont"/>
    <w:rsid w:val="00A95558"/>
  </w:style>
  <w:style w:type="character" w:customStyle="1" w:styleId="UnresolvedMention2">
    <w:name w:val="Unresolved Mention2"/>
    <w:rsid w:val="00A95558"/>
    <w:rPr>
      <w:color w:val="605E5C"/>
    </w:rPr>
  </w:style>
  <w:style w:type="character" w:customStyle="1" w:styleId="HTMLPreformattedChar">
    <w:name w:val="HTML Preformatted Char"/>
    <w:rsid w:val="00A95558"/>
    <w:rPr>
      <w:rFonts w:ascii="Courier New" w:hAnsi="Courier New" w:cs="Courier New"/>
    </w:rPr>
  </w:style>
  <w:style w:type="character" w:customStyle="1" w:styleId="gnd-iwgdh3b">
    <w:name w:val="gnd-iwgdh3b"/>
    <w:basedOn w:val="DefaultParagraphFont"/>
    <w:rsid w:val="00A95558"/>
  </w:style>
  <w:style w:type="character" w:customStyle="1" w:styleId="UnresolvedMention3">
    <w:name w:val="Unresolved Mention3"/>
    <w:rsid w:val="00A95558"/>
    <w:rPr>
      <w:color w:val="605E5C"/>
    </w:rPr>
  </w:style>
  <w:style w:type="character" w:customStyle="1" w:styleId="anchor-text">
    <w:name w:val="anchor-text"/>
    <w:basedOn w:val="DefaultParagraphFont"/>
    <w:rsid w:val="00A95558"/>
  </w:style>
  <w:style w:type="character" w:customStyle="1" w:styleId="LineNumber1">
    <w:name w:val="Line Number1"/>
    <w:basedOn w:val="DefaultParagraphFont"/>
    <w:rsid w:val="00A95558"/>
  </w:style>
  <w:style w:type="character" w:customStyle="1" w:styleId="FootnoteReference1">
    <w:name w:val="Footnote Reference1"/>
    <w:rsid w:val="00A95558"/>
    <w:rPr>
      <w:vertAlign w:val="superscript"/>
    </w:rPr>
  </w:style>
  <w:style w:type="character" w:customStyle="1" w:styleId="ListLabel1">
    <w:name w:val="ListLabel 1"/>
    <w:rsid w:val="00A95558"/>
    <w:rPr>
      <w:rFonts w:cs="Courier New"/>
    </w:rPr>
  </w:style>
  <w:style w:type="character" w:customStyle="1" w:styleId="NumberingSymbols">
    <w:name w:val="Numbering Symbols"/>
    <w:rsid w:val="00A95558"/>
  </w:style>
  <w:style w:type="paragraph" w:customStyle="1" w:styleId="Heading">
    <w:name w:val="Heading"/>
    <w:basedOn w:val="Normal"/>
    <w:next w:val="BodyText"/>
    <w:rsid w:val="00A95558"/>
    <w:pPr>
      <w:keepNext/>
      <w:widowControl/>
      <w:suppressAutoHyphens/>
      <w:autoSpaceDE/>
      <w:autoSpaceDN/>
      <w:spacing w:before="240" w:after="120" w:line="480" w:lineRule="auto"/>
    </w:pPr>
    <w:rPr>
      <w:rFonts w:ascii="Arial" w:eastAsia="Microsoft YaHei" w:hAnsi="Arial" w:cs="Arial"/>
      <w:color w:val="000000"/>
      <w:kern w:val="1"/>
      <w:sz w:val="28"/>
      <w:szCs w:val="28"/>
      <w:lang w:eastAsia="ar-SA"/>
    </w:rPr>
  </w:style>
  <w:style w:type="paragraph" w:styleId="List">
    <w:name w:val="List"/>
    <w:basedOn w:val="BodyText"/>
    <w:rsid w:val="00A95558"/>
    <w:pPr>
      <w:widowControl/>
      <w:suppressAutoHyphens/>
      <w:autoSpaceDE/>
      <w:autoSpaceDN/>
      <w:spacing w:after="160" w:line="480" w:lineRule="auto"/>
      <w:jc w:val="both"/>
    </w:pPr>
    <w:rPr>
      <w:rFonts w:ascii="Arial" w:hAnsi="Arial" w:cs="Arial"/>
      <w:color w:val="000000"/>
      <w:kern w:val="1"/>
      <w:sz w:val="24"/>
      <w:szCs w:val="24"/>
      <w:lang w:eastAsia="ar-SA"/>
    </w:rPr>
  </w:style>
  <w:style w:type="paragraph" w:styleId="Caption">
    <w:name w:val="caption"/>
    <w:basedOn w:val="Normal"/>
    <w:qFormat/>
    <w:rsid w:val="00A95558"/>
    <w:pPr>
      <w:widowControl/>
      <w:suppressLineNumbers/>
      <w:suppressAutoHyphens/>
      <w:autoSpaceDE/>
      <w:autoSpaceDN/>
      <w:spacing w:before="120" w:after="120" w:line="480" w:lineRule="auto"/>
    </w:pPr>
    <w:rPr>
      <w:rFonts w:ascii="Arial" w:hAnsi="Arial" w:cs="Arial"/>
      <w:i/>
      <w:iCs/>
      <w:color w:val="000000"/>
      <w:kern w:val="1"/>
      <w:sz w:val="24"/>
      <w:szCs w:val="24"/>
      <w:lang w:eastAsia="ar-SA"/>
    </w:rPr>
  </w:style>
  <w:style w:type="paragraph" w:customStyle="1" w:styleId="Index">
    <w:name w:val="Index"/>
    <w:basedOn w:val="Normal"/>
    <w:rsid w:val="00A95558"/>
    <w:pPr>
      <w:widowControl/>
      <w:suppressLineNumbers/>
      <w:suppressAutoHyphens/>
      <w:autoSpaceDE/>
      <w:autoSpaceDN/>
      <w:spacing w:after="160" w:line="480" w:lineRule="auto"/>
    </w:pPr>
    <w:rPr>
      <w:rFonts w:ascii="Arial" w:hAnsi="Arial" w:cs="Arial"/>
      <w:color w:val="000000"/>
      <w:kern w:val="1"/>
      <w:sz w:val="24"/>
      <w:szCs w:val="24"/>
      <w:lang w:eastAsia="ar-SA"/>
    </w:rPr>
  </w:style>
  <w:style w:type="paragraph" w:customStyle="1" w:styleId="CommentText1">
    <w:name w:val="Comment Text1"/>
    <w:basedOn w:val="Normal"/>
    <w:rsid w:val="00A95558"/>
    <w:pPr>
      <w:widowControl/>
      <w:suppressAutoHyphens/>
      <w:autoSpaceDE/>
      <w:autoSpaceDN/>
      <w:spacing w:after="160" w:line="480" w:lineRule="auto"/>
    </w:pPr>
    <w:rPr>
      <w:rFonts w:ascii="Arial" w:hAnsi="Arial" w:cs="Arial"/>
      <w:color w:val="000000"/>
      <w:kern w:val="1"/>
      <w:sz w:val="20"/>
      <w:szCs w:val="20"/>
      <w:lang w:eastAsia="ar-SA"/>
    </w:rPr>
  </w:style>
  <w:style w:type="paragraph" w:customStyle="1" w:styleId="CommentSubject1">
    <w:name w:val="Comment Subject1"/>
    <w:basedOn w:val="CommentText1"/>
    <w:rsid w:val="00A95558"/>
    <w:rPr>
      <w:b/>
      <w:bCs/>
    </w:rPr>
  </w:style>
  <w:style w:type="paragraph" w:styleId="BalloonText">
    <w:name w:val="Balloon Text"/>
    <w:basedOn w:val="Normal"/>
    <w:link w:val="BalloonTextChar1"/>
    <w:rsid w:val="00A95558"/>
    <w:pPr>
      <w:widowControl/>
      <w:suppressAutoHyphens/>
      <w:autoSpaceDE/>
      <w:autoSpaceDN/>
      <w:spacing w:after="160" w:line="480" w:lineRule="auto"/>
    </w:pPr>
    <w:rPr>
      <w:rFonts w:ascii="Tahoma" w:hAnsi="Tahoma" w:cs="Tahoma"/>
      <w:color w:val="000000"/>
      <w:kern w:val="1"/>
      <w:sz w:val="16"/>
      <w:szCs w:val="16"/>
      <w:lang w:eastAsia="ar-SA"/>
    </w:rPr>
  </w:style>
  <w:style w:type="character" w:customStyle="1" w:styleId="BalloonTextChar1">
    <w:name w:val="Balloon Text Char1"/>
    <w:basedOn w:val="DefaultParagraphFont"/>
    <w:link w:val="BalloonText"/>
    <w:rsid w:val="00A95558"/>
    <w:rPr>
      <w:rFonts w:ascii="Tahoma" w:eastAsia="Times New Roman" w:hAnsi="Tahoma" w:cs="Tahoma"/>
      <w:color w:val="000000"/>
      <w:kern w:val="1"/>
      <w:sz w:val="16"/>
      <w:szCs w:val="16"/>
      <w:lang w:eastAsia="ar-SA"/>
    </w:rPr>
  </w:style>
  <w:style w:type="paragraph" w:styleId="BodyTextIndent">
    <w:name w:val="Body Text Indent"/>
    <w:basedOn w:val="Normal"/>
    <w:link w:val="BodyTextIndentChar"/>
    <w:rsid w:val="00A95558"/>
    <w:pPr>
      <w:widowControl/>
      <w:suppressAutoHyphens/>
      <w:autoSpaceDE/>
      <w:autoSpaceDN/>
      <w:spacing w:after="160" w:line="480" w:lineRule="auto"/>
      <w:ind w:left="360" w:hanging="360"/>
      <w:jc w:val="both"/>
    </w:pPr>
    <w:rPr>
      <w:rFonts w:ascii="Century Gothic" w:hAnsi="Century Gothic" w:cs="Arial"/>
      <w:color w:val="000000"/>
      <w:kern w:val="1"/>
      <w:sz w:val="24"/>
      <w:szCs w:val="24"/>
      <w:lang w:eastAsia="ar-SA"/>
    </w:rPr>
  </w:style>
  <w:style w:type="character" w:customStyle="1" w:styleId="BodyTextIndentChar">
    <w:name w:val="Body Text Indent Char"/>
    <w:basedOn w:val="DefaultParagraphFont"/>
    <w:link w:val="BodyTextIndent"/>
    <w:rsid w:val="00A95558"/>
    <w:rPr>
      <w:rFonts w:ascii="Century Gothic" w:eastAsia="Times New Roman" w:hAnsi="Century Gothic" w:cs="Arial"/>
      <w:color w:val="000000"/>
      <w:kern w:val="1"/>
      <w:sz w:val="24"/>
      <w:szCs w:val="24"/>
      <w:lang w:eastAsia="ar-SA"/>
    </w:rPr>
  </w:style>
  <w:style w:type="paragraph" w:styleId="BodyTextIndent2">
    <w:name w:val="Body Text Indent 2"/>
    <w:basedOn w:val="Normal"/>
    <w:link w:val="BodyTextIndent2Char"/>
    <w:rsid w:val="00A95558"/>
    <w:pPr>
      <w:widowControl/>
      <w:suppressAutoHyphens/>
      <w:autoSpaceDE/>
      <w:autoSpaceDN/>
      <w:spacing w:after="160" w:line="480" w:lineRule="auto"/>
      <w:ind w:left="360"/>
    </w:pPr>
    <w:rPr>
      <w:rFonts w:ascii="Century Gothic" w:hAnsi="Century Gothic" w:cs="Arial"/>
      <w:color w:val="000000"/>
      <w:kern w:val="1"/>
      <w:sz w:val="24"/>
      <w:szCs w:val="24"/>
      <w:lang w:eastAsia="ar-SA"/>
    </w:rPr>
  </w:style>
  <w:style w:type="character" w:customStyle="1" w:styleId="BodyTextIndent2Char">
    <w:name w:val="Body Text Indent 2 Char"/>
    <w:basedOn w:val="DefaultParagraphFont"/>
    <w:link w:val="BodyTextIndent2"/>
    <w:rsid w:val="00A95558"/>
    <w:rPr>
      <w:rFonts w:ascii="Century Gothic" w:eastAsia="Times New Roman" w:hAnsi="Century Gothic" w:cs="Arial"/>
      <w:color w:val="000000"/>
      <w:kern w:val="1"/>
      <w:sz w:val="24"/>
      <w:szCs w:val="24"/>
      <w:lang w:eastAsia="ar-SA"/>
    </w:rPr>
  </w:style>
  <w:style w:type="paragraph" w:styleId="BodyTextIndent3">
    <w:name w:val="Body Text Indent 3"/>
    <w:basedOn w:val="Normal"/>
    <w:link w:val="BodyTextIndent3Char"/>
    <w:rsid w:val="00A95558"/>
    <w:pPr>
      <w:widowControl/>
      <w:suppressAutoHyphens/>
      <w:autoSpaceDE/>
      <w:autoSpaceDN/>
      <w:spacing w:after="160" w:line="480" w:lineRule="auto"/>
      <w:ind w:left="360"/>
      <w:jc w:val="both"/>
    </w:pPr>
    <w:rPr>
      <w:rFonts w:ascii="Century Gothic" w:hAnsi="Century Gothic" w:cs="Arial"/>
      <w:color w:val="000000"/>
      <w:kern w:val="1"/>
      <w:sz w:val="24"/>
      <w:szCs w:val="24"/>
      <w:lang w:eastAsia="ar-SA"/>
    </w:rPr>
  </w:style>
  <w:style w:type="character" w:customStyle="1" w:styleId="BodyTextIndent3Char">
    <w:name w:val="Body Text Indent 3 Char"/>
    <w:basedOn w:val="DefaultParagraphFont"/>
    <w:link w:val="BodyTextIndent3"/>
    <w:rsid w:val="00A95558"/>
    <w:rPr>
      <w:rFonts w:ascii="Century Gothic" w:eastAsia="Times New Roman" w:hAnsi="Century Gothic" w:cs="Arial"/>
      <w:color w:val="000000"/>
      <w:kern w:val="1"/>
      <w:sz w:val="24"/>
      <w:szCs w:val="24"/>
      <w:lang w:eastAsia="ar-SA"/>
    </w:rPr>
  </w:style>
  <w:style w:type="paragraph" w:styleId="NoSpacing">
    <w:name w:val="No Spacing"/>
    <w:uiPriority w:val="1"/>
    <w:qFormat/>
    <w:rsid w:val="00A95558"/>
    <w:pPr>
      <w:widowControl/>
      <w:suppressAutoHyphens/>
      <w:autoSpaceDE/>
      <w:autoSpaceDN/>
      <w:spacing w:after="160" w:line="480" w:lineRule="auto"/>
    </w:pPr>
    <w:rPr>
      <w:rFonts w:ascii="Calibri" w:eastAsia="Calibri" w:hAnsi="Calibri" w:cs="Times New Roman"/>
      <w:kern w:val="1"/>
      <w:lang w:eastAsia="ar-SA"/>
    </w:rPr>
  </w:style>
  <w:style w:type="paragraph" w:customStyle="1" w:styleId="Caption1">
    <w:name w:val="Caption1"/>
    <w:basedOn w:val="Normal"/>
    <w:rsid w:val="00A95558"/>
    <w:pPr>
      <w:widowControl/>
      <w:suppressAutoHyphens/>
      <w:autoSpaceDE/>
      <w:autoSpaceDN/>
      <w:spacing w:after="200" w:line="100" w:lineRule="atLeast"/>
    </w:pPr>
    <w:rPr>
      <w:rFonts w:ascii="Arial" w:hAnsi="Arial" w:cs="Arial"/>
      <w:b/>
      <w:bCs/>
      <w:color w:val="4F81BD"/>
      <w:kern w:val="1"/>
      <w:sz w:val="18"/>
      <w:szCs w:val="18"/>
      <w:lang w:eastAsia="ar-SA"/>
    </w:rPr>
  </w:style>
  <w:style w:type="paragraph" w:styleId="HTMLPreformatted">
    <w:name w:val="HTML Preformatted"/>
    <w:basedOn w:val="Normal"/>
    <w:link w:val="HTMLPreformattedChar1"/>
    <w:rsid w:val="00A95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100" w:lineRule="atLeast"/>
    </w:pPr>
    <w:rPr>
      <w:rFonts w:ascii="Courier New" w:hAnsi="Courier New" w:cs="Courier New"/>
      <w:color w:val="000000"/>
      <w:kern w:val="1"/>
      <w:sz w:val="20"/>
      <w:szCs w:val="20"/>
      <w:lang w:val="en-IN" w:eastAsia="ar-SA"/>
    </w:rPr>
  </w:style>
  <w:style w:type="character" w:customStyle="1" w:styleId="HTMLPreformattedChar1">
    <w:name w:val="HTML Preformatted Char1"/>
    <w:basedOn w:val="DefaultParagraphFont"/>
    <w:link w:val="HTMLPreformatted"/>
    <w:rsid w:val="00A95558"/>
    <w:rPr>
      <w:rFonts w:ascii="Courier New" w:eastAsia="Times New Roman" w:hAnsi="Courier New" w:cs="Courier New"/>
      <w:color w:val="000000"/>
      <w:kern w:val="1"/>
      <w:sz w:val="20"/>
      <w:szCs w:val="20"/>
      <w:lang w:val="en-IN" w:eastAsia="ar-SA"/>
    </w:rPr>
  </w:style>
  <w:style w:type="paragraph" w:customStyle="1" w:styleId="z-TopofForm1">
    <w:name w:val="z-Top of Form1"/>
    <w:basedOn w:val="Normal"/>
    <w:rsid w:val="00A95558"/>
    <w:pPr>
      <w:widowControl/>
      <w:pBdr>
        <w:bottom w:val="single" w:sz="6" w:space="1" w:color="000000"/>
      </w:pBdr>
      <w:suppressAutoHyphens/>
      <w:autoSpaceDE/>
      <w:autoSpaceDN/>
      <w:spacing w:line="100" w:lineRule="atLeast"/>
      <w:jc w:val="center"/>
    </w:pPr>
    <w:rPr>
      <w:rFonts w:ascii="Arial" w:hAnsi="Arial" w:cs="Arial"/>
      <w:vanish/>
      <w:color w:val="000000"/>
      <w:kern w:val="1"/>
      <w:sz w:val="16"/>
      <w:szCs w:val="16"/>
      <w:lang w:eastAsia="ar-SA"/>
    </w:rPr>
  </w:style>
  <w:style w:type="paragraph" w:customStyle="1" w:styleId="dx-doi">
    <w:name w:val="dx-doi"/>
    <w:basedOn w:val="Normal"/>
    <w:rsid w:val="00A95558"/>
    <w:pPr>
      <w:widowControl/>
      <w:suppressAutoHyphens/>
      <w:autoSpaceDE/>
      <w:autoSpaceDN/>
      <w:spacing w:before="100" w:after="100" w:line="100" w:lineRule="atLeast"/>
    </w:pPr>
    <w:rPr>
      <w:rFonts w:ascii="Arial" w:hAnsi="Arial" w:cs="Arial"/>
      <w:color w:val="000000"/>
      <w:kern w:val="1"/>
      <w:sz w:val="24"/>
      <w:szCs w:val="24"/>
      <w:lang w:eastAsia="ar-SA"/>
    </w:rPr>
  </w:style>
  <w:style w:type="table" w:customStyle="1" w:styleId="TableGrid1">
    <w:name w:val="Table Grid1"/>
    <w:basedOn w:val="TableNormal"/>
    <w:next w:val="TableGrid"/>
    <w:uiPriority w:val="59"/>
    <w:rsid w:val="00A95558"/>
    <w:pPr>
      <w:widowControl/>
      <w:autoSpaceDE/>
      <w:autoSpaceDN/>
      <w:spacing w:after="160" w:line="480" w:lineRule="auto"/>
    </w:pPr>
    <w:rPr>
      <w:rFonts w:ascii="Times New Roman" w:eastAsia="Times New Roman"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A95558"/>
    <w:pPr>
      <w:widowControl/>
      <w:autoSpaceDE/>
      <w:autoSpaceDN/>
    </w:pPr>
    <w:rPr>
      <w:rFonts w:ascii="Times New Roman" w:eastAsia="Times New Roman" w:hAnsi="Times New Roman" w:cs="Times New Roman"/>
      <w:sz w:val="20"/>
      <w:szCs w:val="20"/>
      <w:lang w:val="en-IN"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A95558"/>
    <w:pPr>
      <w:widowControl/>
      <w:autoSpaceDE/>
      <w:autoSpaceDN/>
    </w:pPr>
    <w:rPr>
      <w:rFonts w:ascii="Times New Roman" w:eastAsia="Times New Roman" w:hAnsi="Times New Roman" w:cs="Times New Roman"/>
      <w:sz w:val="20"/>
      <w:szCs w:val="20"/>
      <w:lang w:val="en-IN" w:eastAsia="en-I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basedOn w:val="DefaultParagraphFont"/>
    <w:uiPriority w:val="22"/>
    <w:qFormat/>
    <w:rsid w:val="00A95558"/>
    <w:rPr>
      <w:b/>
      <w:bCs/>
    </w:rPr>
  </w:style>
  <w:style w:type="table" w:styleId="TableGridLight">
    <w:name w:val="Grid Table Light"/>
    <w:basedOn w:val="TableNormal"/>
    <w:uiPriority w:val="40"/>
    <w:rsid w:val="00A955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955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ribaf.2019.01.012" TargetMode="External"/><Relationship Id="rId21" Type="http://schemas.openxmlformats.org/officeDocument/2006/relationships/hyperlink" Target="https://doi.org/10.1016/j.frl.2021.102458" TargetMode="External"/><Relationship Id="rId34" Type="http://schemas.openxmlformats.org/officeDocument/2006/relationships/hyperlink" Target="https://doi.org/10.1080/07421222.2018.1440766" TargetMode="External"/><Relationship Id="rId42" Type="http://schemas.openxmlformats.org/officeDocument/2006/relationships/hyperlink" Target="https://doi.org/10.1177/014920639101700108" TargetMode="External"/><Relationship Id="rId47" Type="http://schemas.openxmlformats.org/officeDocument/2006/relationships/hyperlink" Target="https://doi.org/10.1108/MEDAR-12-2018-0413" TargetMode="External"/><Relationship Id="rId50" Type="http://schemas.openxmlformats.org/officeDocument/2006/relationships/hyperlink" Target="https://doi.org/10.1108/eb039075" TargetMode="External"/><Relationship Id="rId55" Type="http://schemas.openxmlformats.org/officeDocument/2006/relationships/hyperlink" Target="https://doi.org/10.1177/0972262914564042"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97215091001100206" TargetMode="External"/><Relationship Id="rId29" Type="http://schemas.openxmlformats.org/officeDocument/2006/relationships/hyperlink" Target="https://doi.org/10.2307/258191" TargetMode="External"/><Relationship Id="rId11" Type="http://schemas.openxmlformats.org/officeDocument/2006/relationships/hyperlink" Target="https://doi.org/10.1002/csr.1281" TargetMode="External"/><Relationship Id="rId24" Type="http://schemas.openxmlformats.org/officeDocument/2006/relationships/hyperlink" Target="https://doi.org/10.1111/fima.12297" TargetMode="External"/><Relationship Id="rId32" Type="http://schemas.openxmlformats.org/officeDocument/2006/relationships/hyperlink" Target="https://doi.org/10.35808/ersj/2254" TargetMode="External"/><Relationship Id="rId37" Type="http://schemas.openxmlformats.org/officeDocument/2006/relationships/hyperlink" Target="https://doi.org/10.1007/s11187-018-9991-x" TargetMode="External"/><Relationship Id="rId40" Type="http://schemas.openxmlformats.org/officeDocument/2006/relationships/hyperlink" Target="https://doi.org/10.1186/s40854-021-00326-1" TargetMode="External"/><Relationship Id="rId45" Type="http://schemas.openxmlformats.org/officeDocument/2006/relationships/hyperlink" Target="https://doi.org/10.1002/smj.4250130505" TargetMode="External"/><Relationship Id="rId53" Type="http://schemas.openxmlformats.org/officeDocument/2006/relationships/hyperlink" Target="https://doi.org/10.24840/2183-0606_004.004_0004" TargetMode="External"/><Relationship Id="rId58" Type="http://schemas.openxmlformats.org/officeDocument/2006/relationships/hyperlink" Target="https://doi.org/10.1504/IJMEF.2020.105331"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86/466942" TargetMode="External"/><Relationship Id="rId19" Type="http://schemas.openxmlformats.org/officeDocument/2006/relationships/hyperlink" Target="https://doi.org/10.1142/S2282717X20400022" TargetMode="External"/><Relationship Id="rId14" Type="http://schemas.openxmlformats.org/officeDocument/2006/relationships/hyperlink" Target="https://doi.org/10.1016/j.jeconbus.2022.106078" TargetMode="External"/><Relationship Id="rId22" Type="http://schemas.openxmlformats.org/officeDocument/2006/relationships/hyperlink" Target="https://doi.org/10.1086/674872" TargetMode="External"/><Relationship Id="rId27" Type="http://schemas.openxmlformats.org/officeDocument/2006/relationships/hyperlink" Target="https://doi.org/10.1177/0971890715585197" TargetMode="External"/><Relationship Id="rId30" Type="http://schemas.openxmlformats.org/officeDocument/2006/relationships/hyperlink" Target="https://doi.org/10.2307/2525569" TargetMode="External"/><Relationship Id="rId35" Type="http://schemas.openxmlformats.org/officeDocument/2006/relationships/hyperlink" Target="https://doi.org/10.1007/s11573-017-0852-x" TargetMode="External"/><Relationship Id="rId43" Type="http://schemas.openxmlformats.org/officeDocument/2006/relationships/hyperlink" Target="https://doi.org/10.2469/faj.v56.n3.2359" TargetMode="External"/><Relationship Id="rId48" Type="http://schemas.openxmlformats.org/officeDocument/2006/relationships/hyperlink" Target="https://doi.org/10.4018/979-8-3693-2061-7.ch006" TargetMode="External"/><Relationship Id="rId56" Type="http://schemas.openxmlformats.org/officeDocument/2006/relationships/hyperlink" Target="https://doi.org/10.1016/j.intman.2004.05.005"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007/s12599-017-0464-6" TargetMode="External"/><Relationship Id="rId3" Type="http://schemas.openxmlformats.org/officeDocument/2006/relationships/styles" Target="styles.xml"/><Relationship Id="rId12" Type="http://schemas.openxmlformats.org/officeDocument/2006/relationships/hyperlink" Target="https://doi.org/10.1111/j.1475-6803.2006.00174.x" TargetMode="External"/><Relationship Id="rId17" Type="http://schemas.openxmlformats.org/officeDocument/2006/relationships/hyperlink" Target="https://doi.org/10.1016/j.iref.2018.08.005" TargetMode="External"/><Relationship Id="rId25" Type="http://schemas.openxmlformats.org/officeDocument/2006/relationships/hyperlink" Target="https://doi.org/10.1108/JIBR-08-2018-0204" TargetMode="External"/><Relationship Id="rId33" Type="http://schemas.openxmlformats.org/officeDocument/2006/relationships/hyperlink" Target="https://doi.org/10.1080/07421222.2018.1440766" TargetMode="External"/><Relationship Id="rId38" Type="http://schemas.openxmlformats.org/officeDocument/2006/relationships/hyperlink" Target="https://doi.org/10.1016/j.geoforum.2021.04.010" TargetMode="External"/><Relationship Id="rId46" Type="http://schemas.openxmlformats.org/officeDocument/2006/relationships/hyperlink" Target="https://doi.org/10.1177/097226290901300302" TargetMode="External"/><Relationship Id="rId59" Type="http://schemas.openxmlformats.org/officeDocument/2006/relationships/hyperlink" Target="https://doi.org/10.1016/j.techfore.2021.121278" TargetMode="External"/><Relationship Id="rId20" Type="http://schemas.openxmlformats.org/officeDocument/2006/relationships/hyperlink" Target="https://doi.org/10.1016/j.techfore.2021.120645" TargetMode="External"/><Relationship Id="rId41" Type="http://schemas.openxmlformats.org/officeDocument/2006/relationships/hyperlink" Target="https://doi.org/10.1108/09727981311327802" TargetMode="External"/><Relationship Id="rId54" Type="http://schemas.openxmlformats.org/officeDocument/2006/relationships/hyperlink" Target="https://doi.org/10.24840/2183-0606_004.004_0004" TargetMode="External"/><Relationship Id="rId62" Type="http://schemas.openxmlformats.org/officeDocument/2006/relationships/hyperlink" Target="https://doi.org/10.1186/s40854-016-0036-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14920639101700107" TargetMode="External"/><Relationship Id="rId23" Type="http://schemas.openxmlformats.org/officeDocument/2006/relationships/hyperlink" Target="https://doi.org/10.1016/j.jcae.2020.100185" TargetMode="External"/><Relationship Id="rId28" Type="http://schemas.openxmlformats.org/officeDocument/2006/relationships/hyperlink" Target="https://doi.org/10.1287/mnsc.31.2.134" TargetMode="External"/><Relationship Id="rId36" Type="http://schemas.openxmlformats.org/officeDocument/2006/relationships/hyperlink" Target="https://doi.org/10.1007/s11187-018-9991-x" TargetMode="External"/><Relationship Id="rId49" Type="http://schemas.openxmlformats.org/officeDocument/2006/relationships/hyperlink" Target="https://doi.org/10.1016/j.pacfin.2019.101210" TargetMode="External"/><Relationship Id="rId57" Type="http://schemas.openxmlformats.org/officeDocument/2006/relationships/hyperlink" Target="https://doi.org/10.3390/info11120590" TargetMode="External"/><Relationship Id="rId10" Type="http://schemas.openxmlformats.org/officeDocument/2006/relationships/hyperlink" Target="https://doi.org/10.1007/s12525-018-0310-9" TargetMode="External"/><Relationship Id="rId31" Type="http://schemas.openxmlformats.org/officeDocument/2006/relationships/hyperlink" Target="https://doi.org/10.1108/NBRI-08-2023-0071" TargetMode="External"/><Relationship Id="rId44" Type="http://schemas.openxmlformats.org/officeDocument/2006/relationships/hyperlink" Target="https://doi.org/10.1007/s11356-020-11822-9" TargetMode="External"/><Relationship Id="rId52" Type="http://schemas.openxmlformats.org/officeDocument/2006/relationships/hyperlink" Target="https://doi.org/10.1016/j.frl.2021.102071" TargetMode="External"/><Relationship Id="rId60" Type="http://schemas.openxmlformats.org/officeDocument/2006/relationships/hyperlink" Target="https://doi.org/10.2307/3003654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0972150919852009" TargetMode="External"/><Relationship Id="rId13" Type="http://schemas.openxmlformats.org/officeDocument/2006/relationships/hyperlink" Target="https://doi.org/10.51201/JUSST/21/07280" TargetMode="External"/><Relationship Id="rId18" Type="http://schemas.openxmlformats.org/officeDocument/2006/relationships/hyperlink" Target="https://doi.org/10.1016/0304-405X(83)90010-7" TargetMode="External"/><Relationship Id="rId39" Type="http://schemas.openxmlformats.org/officeDocument/2006/relationships/hyperlink" Target="https://doi.org/10.1007/s11187-020-0035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901C-5BCE-4D8B-A354-129B636C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9540</Words>
  <Characters>58962</Characters>
  <Application>Microsoft Office Word</Application>
  <DocSecurity>0</DocSecurity>
  <Lines>1228</Lines>
  <Paragraphs>206</Paragraphs>
  <ScaleCrop>false</ScaleCrop>
  <HeadingPairs>
    <vt:vector size="2" baseType="variant">
      <vt:variant>
        <vt:lpstr>Title</vt:lpstr>
      </vt:variant>
      <vt:variant>
        <vt:i4>1</vt:i4>
      </vt:variant>
    </vt:vector>
  </HeadingPairs>
  <TitlesOfParts>
    <vt:vector size="1" baseType="lpstr">
      <vt:lpstr>Human Touch Experience: A Strategy for Reducing Consumer Switching Behavior in The Financial Service Industry</vt:lpstr>
    </vt:vector>
  </TitlesOfParts>
  <Company/>
  <LinksUpToDate>false</LinksUpToDate>
  <CharactersWithSpaces>68296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Touch Experience: A Strategy for Reducing Consumer Switching Behavior in The Financial Service Industry</dc:title>
  <dc:subject>Article submitted to Australasian Accounting, Business and Finance Journal</dc:subject>
  <dc:creator>Adi Rachmanto</dc:creator>
  <cp:lastModifiedBy>Ciorstan Smark</cp:lastModifiedBy>
  <cp:revision>7</cp:revision>
  <cp:lastPrinted>2025-01-31T04:09:00Z</cp:lastPrinted>
  <dcterms:created xsi:type="dcterms:W3CDTF">2025-03-07T09:39:00Z</dcterms:created>
  <dcterms:modified xsi:type="dcterms:W3CDTF">2025-03-08T02:39:00Z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Appligent pdfHarmony 2.0</vt:lpwstr>
  </property>
  <property fmtid="{D5CDD505-2E9C-101B-9397-08002B2CF9AE}" pid="4" name="GrammarlyDocumentId">
    <vt:lpwstr>57796abf-bed9-4797-808d-e43d9ce30e19</vt:lpwstr>
  </property>
  <property fmtid="{D5CDD505-2E9C-101B-9397-08002B2CF9AE}" pid="5" name="LastSaved">
    <vt:filetime>2024-04-24T00:00:00Z</vt:filetime>
  </property>
  <property fmtid="{D5CDD505-2E9C-101B-9397-08002B2CF9AE}" pid="6" name="Mendeley Citation Style_1">
    <vt:lpwstr>http://www.zotero.org/styles/apa</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http://www.zotero.org/styles/harvard1</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http://www.zotero.org/styles/vancouver</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7th edition</vt:lpwstr>
  </property>
  <property fmtid="{D5CDD505-2E9C-101B-9397-08002B2CF9AE}" pid="20" name="Mendeley Recent Style Name 2_1">
    <vt:lpwstr>American Sociological Association 6th edition</vt:lpwstr>
  </property>
  <property fmtid="{D5CDD505-2E9C-101B-9397-08002B2CF9AE}" pid="21" name="Mendeley Recent Style Name 3_1">
    <vt:lpwstr>Chicago Manual of Style 17th edition (author-date)</vt:lpwstr>
  </property>
  <property fmtid="{D5CDD505-2E9C-101B-9397-08002B2CF9AE}" pid="22" name="Mendeley Recent Style Name 4_1">
    <vt:lpwstr>Harvard reference format 1 (deprecated)</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9th edition</vt:lpwstr>
  </property>
  <property fmtid="{D5CDD505-2E9C-101B-9397-08002B2CF9AE}" pid="26" name="Mendeley Recent Style Name 8_1">
    <vt:lpwstr>Nature</vt:lpwstr>
  </property>
  <property fmtid="{D5CDD505-2E9C-101B-9397-08002B2CF9AE}" pid="27" name="Mendeley Recent Style Name 9_1">
    <vt:lpwstr>Vancouver</vt:lpwstr>
  </property>
  <property fmtid="{D5CDD505-2E9C-101B-9397-08002B2CF9AE}" pid="28" name="Mendeley Unique User Id_1">
    <vt:lpwstr>be2edbe8-664d-3aa1-8836-50f13431bf0e</vt:lpwstr>
  </property>
  <property fmtid="{D5CDD505-2E9C-101B-9397-08002B2CF9AE}" pid="29" name="Producer">
    <vt:lpwstr>Adobe PDF Library 23.6.136</vt:lpwstr>
  </property>
  <property fmtid="{D5CDD505-2E9C-101B-9397-08002B2CF9AE}" pid="30" name="SourceModified">
    <vt:lpwstr>D:20231107235538</vt:lpwstr>
  </property>
</Properties>
</file>