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38" w:rsidRPr="00707A38" w:rsidRDefault="00707A38" w:rsidP="00707A38">
      <w:pPr>
        <w:numPr>
          <w:ilvl w:val="0"/>
          <w:numId w:val="1"/>
        </w:numPr>
        <w:spacing w:before="100" w:beforeAutospacing="1" w:after="100" w:afterAutospacing="1" w:line="480" w:lineRule="auto"/>
        <w:contextualSpacing/>
        <w:jc w:val="both"/>
        <w:rPr>
          <w:rFonts w:ascii="Times New Roman" w:hAnsi="Times New Roman" w:cs="Times New Roman"/>
          <w:b/>
          <w:sz w:val="24"/>
          <w:szCs w:val="24"/>
        </w:rPr>
      </w:pPr>
      <w:r w:rsidRPr="00707A38">
        <w:rPr>
          <w:rFonts w:ascii="Times New Roman" w:hAnsi="Times New Roman" w:cs="Times New Roman"/>
          <w:b/>
          <w:sz w:val="24"/>
          <w:szCs w:val="24"/>
        </w:rPr>
        <w:t>INTRODUCTION</w:t>
      </w:r>
    </w:p>
    <w:p w:rsidR="00707A38" w:rsidRPr="00707A38" w:rsidRDefault="00707A38" w:rsidP="00707A38">
      <w:pPr>
        <w:spacing w:after="200" w:line="480" w:lineRule="auto"/>
        <w:jc w:val="both"/>
        <w:rPr>
          <w:rFonts w:ascii="Times New Roman" w:hAnsi="Times New Roman" w:cs="Times New Roman"/>
          <w:sz w:val="24"/>
          <w:szCs w:val="24"/>
        </w:rPr>
      </w:pPr>
      <w:r w:rsidRPr="00707A38">
        <w:rPr>
          <w:rFonts w:ascii="Times New Roman" w:hAnsi="Times New Roman" w:cs="Times New Roman"/>
          <w:sz w:val="24"/>
          <w:szCs w:val="24"/>
        </w:rPr>
        <w:t>The microfinance indu</w:t>
      </w:r>
      <w:r w:rsidR="00CB3182">
        <w:rPr>
          <w:rFonts w:ascii="Times New Roman" w:hAnsi="Times New Roman" w:cs="Times New Roman"/>
          <w:sz w:val="24"/>
          <w:szCs w:val="24"/>
        </w:rPr>
        <w:t xml:space="preserve">stry is essential for inclusive finance </w:t>
      </w:r>
      <w:r w:rsidRPr="00707A38">
        <w:rPr>
          <w:rFonts w:ascii="Times New Roman" w:hAnsi="Times New Roman" w:cs="Times New Roman"/>
          <w:sz w:val="24"/>
          <w:szCs w:val="24"/>
        </w:rPr>
        <w:t xml:space="preserve">and </w:t>
      </w:r>
      <w:r w:rsidR="00CB3182">
        <w:rPr>
          <w:rFonts w:ascii="Times New Roman" w:hAnsi="Times New Roman" w:cs="Times New Roman"/>
          <w:sz w:val="24"/>
          <w:szCs w:val="24"/>
        </w:rPr>
        <w:t>economic sustainability</w:t>
      </w:r>
      <w:r w:rsidR="002153E8">
        <w:rPr>
          <w:rFonts w:ascii="Times New Roman" w:hAnsi="Times New Roman" w:cs="Times New Roman"/>
          <w:sz w:val="24"/>
          <w:szCs w:val="24"/>
        </w:rPr>
        <w:t xml:space="preserve"> (Oero and Rhyne, 1994</w:t>
      </w:r>
      <w:r w:rsidRPr="00707A38">
        <w:rPr>
          <w:rFonts w:ascii="Times New Roman" w:hAnsi="Times New Roman" w:cs="Times New Roman"/>
          <w:sz w:val="24"/>
          <w:szCs w:val="24"/>
        </w:rPr>
        <w:t xml:space="preserve">). </w:t>
      </w:r>
      <w:r w:rsidR="00CB3182">
        <w:rPr>
          <w:rFonts w:ascii="Times New Roman" w:hAnsi="Times New Roman" w:cs="Times New Roman"/>
          <w:sz w:val="24"/>
          <w:szCs w:val="24"/>
        </w:rPr>
        <w:t>The microfinance industry is witnessing impressive growth due to expansion in the credit disbursement and number of borrowers (Sa-Dhan, 2019a</w:t>
      </w:r>
      <w:r w:rsidR="00F00994">
        <w:rPr>
          <w:rFonts w:ascii="Times New Roman" w:hAnsi="Times New Roman" w:cs="Times New Roman"/>
          <w:sz w:val="24"/>
          <w:szCs w:val="24"/>
        </w:rPr>
        <w:t>; Khan A.A. 2008</w:t>
      </w:r>
      <w:r w:rsidR="00336162">
        <w:rPr>
          <w:rFonts w:ascii="Times New Roman" w:hAnsi="Times New Roman" w:cs="Times New Roman"/>
          <w:sz w:val="24"/>
          <w:szCs w:val="24"/>
        </w:rPr>
        <w:t>; Morduch, 2000)</w:t>
      </w:r>
      <w:bookmarkStart w:id="0" w:name="_GoBack"/>
      <w:bookmarkEnd w:id="0"/>
      <w:r w:rsidR="003E0420">
        <w:rPr>
          <w:rFonts w:ascii="Times New Roman" w:hAnsi="Times New Roman" w:cs="Times New Roman"/>
          <w:sz w:val="24"/>
          <w:szCs w:val="24"/>
        </w:rPr>
        <w:t xml:space="preserve">. </w:t>
      </w:r>
      <w:r w:rsidRPr="00707A38">
        <w:rPr>
          <w:rFonts w:ascii="Times New Roman" w:hAnsi="Times New Roman" w:cs="Times New Roman"/>
          <w:sz w:val="24"/>
          <w:szCs w:val="24"/>
        </w:rPr>
        <w:t>But this expansion is heavily based on the investment and subsidies given by the donors. The donors of the microfinance institutions (MFI) want to know about the utilization and appropriate allocation of the funds which will meet the objectives of the MFI</w:t>
      </w:r>
      <w:r w:rsidR="008A52D1">
        <w:rPr>
          <w:rFonts w:ascii="Times New Roman" w:hAnsi="Times New Roman" w:cs="Times New Roman"/>
          <w:sz w:val="24"/>
          <w:szCs w:val="24"/>
        </w:rPr>
        <w:t xml:space="preserve"> (Khan, 2008)</w:t>
      </w:r>
      <w:r w:rsidRPr="00707A38">
        <w:rPr>
          <w:rFonts w:ascii="Times New Roman" w:hAnsi="Times New Roman" w:cs="Times New Roman"/>
          <w:sz w:val="24"/>
          <w:szCs w:val="24"/>
        </w:rPr>
        <w:t xml:space="preserve">. </w:t>
      </w:r>
    </w:p>
    <w:p w:rsidR="00707A38" w:rsidRPr="00707A38" w:rsidRDefault="00707A38" w:rsidP="00707A38">
      <w:pPr>
        <w:spacing w:after="200" w:line="480" w:lineRule="auto"/>
        <w:jc w:val="both"/>
        <w:rPr>
          <w:rFonts w:ascii="Times New Roman" w:hAnsi="Times New Roman" w:cs="Times New Roman"/>
          <w:sz w:val="24"/>
          <w:szCs w:val="24"/>
        </w:rPr>
      </w:pPr>
      <w:r w:rsidRPr="00707A38">
        <w:rPr>
          <w:rFonts w:ascii="Times New Roman" w:hAnsi="Times New Roman" w:cs="Times New Roman"/>
          <w:sz w:val="24"/>
          <w:szCs w:val="24"/>
          <w:highlight w:val="yellow"/>
        </w:rPr>
        <w:t>NBFC-MFI regulations in India</w:t>
      </w:r>
      <w:r w:rsidRPr="00707A38">
        <w:rPr>
          <w:rFonts w:ascii="Times New Roman" w:hAnsi="Times New Roman" w:cs="Times New Roman"/>
          <w:sz w:val="24"/>
          <w:szCs w:val="24"/>
        </w:rPr>
        <w:t xml:space="preserve"> </w:t>
      </w:r>
    </w:p>
    <w:p w:rsidR="00707A38" w:rsidRPr="008C640B" w:rsidRDefault="00707A38" w:rsidP="00707A38">
      <w:pPr>
        <w:spacing w:after="200" w:line="480" w:lineRule="auto"/>
        <w:jc w:val="both"/>
        <w:rPr>
          <w:rFonts w:ascii="Times New Roman" w:hAnsi="Times New Roman" w:cs="Times New Roman"/>
          <w:sz w:val="24"/>
          <w:szCs w:val="24"/>
        </w:rPr>
      </w:pPr>
      <w:r w:rsidRPr="00707A38">
        <w:rPr>
          <w:rFonts w:ascii="Times New Roman" w:hAnsi="Times New Roman" w:cs="Times New Roman"/>
          <w:sz w:val="24"/>
          <w:szCs w:val="24"/>
        </w:rPr>
        <w:t xml:space="preserve">Microfinance in India is a complex system with many different </w:t>
      </w:r>
      <w:r w:rsidR="007443D1">
        <w:rPr>
          <w:rFonts w:ascii="Times New Roman" w:hAnsi="Times New Roman" w:cs="Times New Roman"/>
          <w:sz w:val="24"/>
          <w:szCs w:val="24"/>
        </w:rPr>
        <w:t>business models</w:t>
      </w:r>
      <w:r w:rsidR="00F1193C">
        <w:rPr>
          <w:rFonts w:ascii="Times New Roman" w:hAnsi="Times New Roman" w:cs="Times New Roman"/>
          <w:sz w:val="24"/>
          <w:szCs w:val="24"/>
        </w:rPr>
        <w:t xml:space="preserve"> and types. These are credit unions, banks, and NGOs. </w:t>
      </w:r>
      <w:r w:rsidR="00A652BA">
        <w:rPr>
          <w:rFonts w:ascii="Times New Roman" w:hAnsi="Times New Roman" w:cs="Times New Roman"/>
          <w:sz w:val="24"/>
          <w:szCs w:val="24"/>
        </w:rPr>
        <w:t>After the 2011 microfinance crisis in</w:t>
      </w:r>
      <w:r w:rsidR="003E378A">
        <w:rPr>
          <w:rFonts w:ascii="Times New Roman" w:hAnsi="Times New Roman" w:cs="Times New Roman"/>
          <w:sz w:val="24"/>
          <w:szCs w:val="24"/>
        </w:rPr>
        <w:t xml:space="preserve"> an Indian state </w:t>
      </w:r>
      <w:r w:rsidR="00A652BA">
        <w:rPr>
          <w:rFonts w:ascii="Times New Roman" w:hAnsi="Times New Roman" w:cs="Times New Roman"/>
          <w:sz w:val="24"/>
          <w:szCs w:val="24"/>
        </w:rPr>
        <w:t xml:space="preserve"> Andhra Pradesh, </w:t>
      </w:r>
      <w:r w:rsidR="00F1193C">
        <w:rPr>
          <w:rFonts w:ascii="Times New Roman" w:hAnsi="Times New Roman" w:cs="Times New Roman"/>
          <w:sz w:val="24"/>
          <w:szCs w:val="24"/>
        </w:rPr>
        <w:t>the Reserve Bank of India (RBI) created a new category after announcing</w:t>
      </w:r>
      <w:r w:rsidR="005B7560">
        <w:rPr>
          <w:rFonts w:ascii="Times New Roman" w:hAnsi="Times New Roman" w:cs="Times New Roman"/>
          <w:sz w:val="24"/>
          <w:szCs w:val="24"/>
          <w:highlight w:val="yellow"/>
        </w:rPr>
        <w:t xml:space="preserve"> </w:t>
      </w:r>
      <w:r w:rsidR="003E378A" w:rsidRPr="00707A38">
        <w:rPr>
          <w:rFonts w:ascii="Times New Roman" w:hAnsi="Times New Roman" w:cs="Times New Roman"/>
          <w:sz w:val="24"/>
          <w:szCs w:val="24"/>
        </w:rPr>
        <w:t xml:space="preserve">several regulatory directives </w:t>
      </w:r>
      <w:r w:rsidR="003E378A">
        <w:rPr>
          <w:rFonts w:ascii="Times New Roman" w:hAnsi="Times New Roman" w:cs="Times New Roman"/>
          <w:sz w:val="24"/>
          <w:szCs w:val="24"/>
        </w:rPr>
        <w:t xml:space="preserve">to </w:t>
      </w:r>
      <w:r w:rsidR="008724FE">
        <w:rPr>
          <w:rFonts w:ascii="Times New Roman" w:hAnsi="Times New Roman" w:cs="Times New Roman"/>
          <w:sz w:val="24"/>
          <w:szCs w:val="24"/>
        </w:rPr>
        <w:t>mak</w:t>
      </w:r>
      <w:r w:rsidR="003E378A">
        <w:rPr>
          <w:rFonts w:ascii="Times New Roman" w:hAnsi="Times New Roman" w:cs="Times New Roman"/>
          <w:sz w:val="24"/>
          <w:szCs w:val="24"/>
        </w:rPr>
        <w:t xml:space="preserve">e </w:t>
      </w:r>
      <w:r w:rsidR="00F1193C">
        <w:rPr>
          <w:rFonts w:ascii="Times New Roman" w:hAnsi="Times New Roman" w:cs="Times New Roman"/>
          <w:sz w:val="24"/>
          <w:szCs w:val="24"/>
        </w:rPr>
        <w:t xml:space="preserve">the </w:t>
      </w:r>
      <w:r w:rsidR="00F1193C" w:rsidRPr="00707A38">
        <w:rPr>
          <w:rFonts w:ascii="Times New Roman" w:hAnsi="Times New Roman" w:cs="Times New Roman"/>
          <w:sz w:val="24"/>
          <w:szCs w:val="24"/>
        </w:rPr>
        <w:t xml:space="preserve">Non-Banking Financial Companies – Microfinance Institutions (NBFC- MFI) </w:t>
      </w:r>
      <w:r w:rsidR="005B7560">
        <w:rPr>
          <w:rFonts w:ascii="Times New Roman" w:hAnsi="Times New Roman" w:cs="Times New Roman"/>
          <w:sz w:val="24"/>
          <w:szCs w:val="24"/>
          <w:highlight w:val="yellow"/>
        </w:rPr>
        <w:t xml:space="preserve">in </w:t>
      </w:r>
      <w:r w:rsidR="003E0420">
        <w:rPr>
          <w:rFonts w:ascii="Times New Roman" w:hAnsi="Times New Roman" w:cs="Times New Roman"/>
          <w:sz w:val="24"/>
          <w:szCs w:val="24"/>
          <w:highlight w:val="yellow"/>
        </w:rPr>
        <w:t xml:space="preserve">its monetary policy of </w:t>
      </w:r>
      <w:r w:rsidR="005B7560">
        <w:rPr>
          <w:rFonts w:ascii="Times New Roman" w:hAnsi="Times New Roman" w:cs="Times New Roman"/>
          <w:sz w:val="24"/>
          <w:szCs w:val="24"/>
          <w:highlight w:val="yellow"/>
        </w:rPr>
        <w:t>2011-2012</w:t>
      </w:r>
      <w:r w:rsidR="003E378A">
        <w:rPr>
          <w:rFonts w:ascii="Times New Roman" w:hAnsi="Times New Roman" w:cs="Times New Roman"/>
          <w:sz w:val="24"/>
          <w:szCs w:val="24"/>
          <w:highlight w:val="yellow"/>
        </w:rPr>
        <w:t xml:space="preserve"> (RBI, 2011)</w:t>
      </w:r>
      <w:r w:rsidR="005B7560">
        <w:rPr>
          <w:rFonts w:ascii="Times New Roman" w:hAnsi="Times New Roman" w:cs="Times New Roman"/>
          <w:sz w:val="24"/>
          <w:szCs w:val="24"/>
          <w:highlight w:val="yellow"/>
        </w:rPr>
        <w:t>.</w:t>
      </w:r>
      <w:r w:rsidR="008724FE">
        <w:rPr>
          <w:rFonts w:ascii="Times New Roman" w:hAnsi="Times New Roman" w:cs="Times New Roman"/>
          <w:sz w:val="24"/>
          <w:szCs w:val="24"/>
          <w:highlight w:val="yellow"/>
        </w:rPr>
        <w:t xml:space="preserve"> </w:t>
      </w:r>
      <w:r w:rsidRPr="00707A38">
        <w:rPr>
          <w:rFonts w:ascii="Times New Roman" w:hAnsi="Times New Roman" w:cs="Times New Roman"/>
          <w:sz w:val="24"/>
          <w:szCs w:val="24"/>
          <w:highlight w:val="yellow"/>
        </w:rPr>
        <w:t xml:space="preserve">The updated </w:t>
      </w:r>
      <w:r w:rsidR="003E0420">
        <w:rPr>
          <w:rFonts w:ascii="Times New Roman" w:hAnsi="Times New Roman" w:cs="Times New Roman"/>
          <w:sz w:val="24"/>
          <w:szCs w:val="24"/>
          <w:highlight w:val="yellow"/>
        </w:rPr>
        <w:t xml:space="preserve">and revised </w:t>
      </w:r>
      <w:r w:rsidRPr="00707A38">
        <w:rPr>
          <w:rFonts w:ascii="Times New Roman" w:hAnsi="Times New Roman" w:cs="Times New Roman"/>
          <w:sz w:val="24"/>
          <w:szCs w:val="24"/>
          <w:highlight w:val="yellow"/>
        </w:rPr>
        <w:t>gui</w:t>
      </w:r>
      <w:r w:rsidR="007443D1">
        <w:rPr>
          <w:rFonts w:ascii="Times New Roman" w:hAnsi="Times New Roman" w:cs="Times New Roman"/>
          <w:sz w:val="24"/>
          <w:szCs w:val="24"/>
          <w:highlight w:val="yellow"/>
        </w:rPr>
        <w:t>del</w:t>
      </w:r>
      <w:r w:rsidRPr="00707A38">
        <w:rPr>
          <w:rFonts w:ascii="Times New Roman" w:hAnsi="Times New Roman" w:cs="Times New Roman"/>
          <w:sz w:val="24"/>
          <w:szCs w:val="24"/>
          <w:highlight w:val="yellow"/>
        </w:rPr>
        <w:t xml:space="preserve">ines </w:t>
      </w:r>
      <w:r w:rsidR="003E0420">
        <w:rPr>
          <w:rFonts w:ascii="Times New Roman" w:hAnsi="Times New Roman" w:cs="Times New Roman"/>
          <w:sz w:val="24"/>
          <w:szCs w:val="24"/>
          <w:highlight w:val="yellow"/>
        </w:rPr>
        <w:t>are</w:t>
      </w:r>
      <w:r w:rsidRPr="00707A38">
        <w:rPr>
          <w:rFonts w:ascii="Times New Roman" w:hAnsi="Times New Roman" w:cs="Times New Roman"/>
          <w:sz w:val="24"/>
          <w:szCs w:val="24"/>
          <w:highlight w:val="yellow"/>
        </w:rPr>
        <w:t xml:space="preserve"> </w:t>
      </w:r>
      <w:r w:rsidR="007443D1">
        <w:rPr>
          <w:rFonts w:ascii="Times New Roman" w:hAnsi="Times New Roman" w:cs="Times New Roman"/>
          <w:sz w:val="24"/>
          <w:szCs w:val="24"/>
          <w:highlight w:val="yellow"/>
        </w:rPr>
        <w:t xml:space="preserve">given </w:t>
      </w:r>
      <w:r w:rsidR="00745998">
        <w:rPr>
          <w:rFonts w:ascii="Times New Roman" w:hAnsi="Times New Roman" w:cs="Times New Roman"/>
          <w:sz w:val="24"/>
          <w:szCs w:val="24"/>
          <w:highlight w:val="yellow"/>
        </w:rPr>
        <w:t>in (RBI 2015</w:t>
      </w:r>
      <w:r w:rsidRPr="00707A38">
        <w:rPr>
          <w:rFonts w:ascii="Times New Roman" w:hAnsi="Times New Roman" w:cs="Times New Roman"/>
          <w:sz w:val="24"/>
          <w:szCs w:val="24"/>
          <w:highlight w:val="yellow"/>
        </w:rPr>
        <w:t xml:space="preserve">). </w:t>
      </w:r>
      <w:r w:rsidR="008724FE">
        <w:rPr>
          <w:rFonts w:ascii="Times New Roman" w:hAnsi="Times New Roman" w:cs="Times New Roman"/>
          <w:sz w:val="24"/>
          <w:szCs w:val="24"/>
          <w:highlight w:val="yellow"/>
        </w:rPr>
        <w:t>A</w:t>
      </w:r>
      <w:r w:rsidRPr="00707A38">
        <w:rPr>
          <w:rFonts w:ascii="Times New Roman" w:hAnsi="Times New Roman" w:cs="Times New Roman"/>
          <w:sz w:val="24"/>
          <w:szCs w:val="24"/>
          <w:highlight w:val="yellow"/>
        </w:rPr>
        <w:t xml:space="preserve"> </w:t>
      </w:r>
      <w:r w:rsidR="007443D1">
        <w:rPr>
          <w:rFonts w:ascii="Times New Roman" w:hAnsi="Times New Roman" w:cs="Times New Roman"/>
          <w:sz w:val="24"/>
          <w:szCs w:val="24"/>
          <w:highlight w:val="yellow"/>
        </w:rPr>
        <w:t>n</w:t>
      </w:r>
      <w:r w:rsidRPr="00707A38">
        <w:rPr>
          <w:rFonts w:ascii="Times New Roman" w:hAnsi="Times New Roman" w:cs="Times New Roman"/>
          <w:sz w:val="24"/>
          <w:szCs w:val="24"/>
          <w:highlight w:val="yellow"/>
        </w:rPr>
        <w:t>on</w:t>
      </w:r>
      <w:r w:rsidR="00144184">
        <w:rPr>
          <w:rFonts w:ascii="Times New Roman" w:hAnsi="Times New Roman" w:cs="Times New Roman"/>
          <w:sz w:val="24"/>
          <w:szCs w:val="24"/>
          <w:highlight w:val="yellow"/>
        </w:rPr>
        <w:t xml:space="preserve"> </w:t>
      </w:r>
      <w:r w:rsidRPr="00707A38">
        <w:rPr>
          <w:rFonts w:ascii="Times New Roman" w:hAnsi="Times New Roman" w:cs="Times New Roman"/>
          <w:sz w:val="24"/>
          <w:szCs w:val="24"/>
          <w:highlight w:val="yellow"/>
        </w:rPr>
        <w:t>- deposit</w:t>
      </w:r>
      <w:r w:rsidR="007443D1">
        <w:rPr>
          <w:rFonts w:ascii="Times New Roman" w:hAnsi="Times New Roman" w:cs="Times New Roman"/>
          <w:sz w:val="24"/>
          <w:szCs w:val="24"/>
          <w:highlight w:val="yellow"/>
        </w:rPr>
        <w:t>-</w:t>
      </w:r>
      <w:r w:rsidRPr="00707A38">
        <w:rPr>
          <w:rFonts w:ascii="Times New Roman" w:hAnsi="Times New Roman" w:cs="Times New Roman"/>
          <w:sz w:val="24"/>
          <w:szCs w:val="24"/>
          <w:highlight w:val="yellow"/>
        </w:rPr>
        <w:t xml:space="preserve">taking </w:t>
      </w:r>
      <w:r w:rsidR="007443D1">
        <w:rPr>
          <w:rFonts w:ascii="Times New Roman" w:hAnsi="Times New Roman" w:cs="Times New Roman"/>
          <w:sz w:val="24"/>
          <w:szCs w:val="24"/>
          <w:highlight w:val="yellow"/>
        </w:rPr>
        <w:t>"</w:t>
      </w:r>
      <w:r w:rsidRPr="00707A38">
        <w:rPr>
          <w:rFonts w:ascii="Times New Roman" w:hAnsi="Times New Roman" w:cs="Times New Roman"/>
          <w:sz w:val="24"/>
          <w:szCs w:val="24"/>
          <w:highlight w:val="yellow"/>
        </w:rPr>
        <w:t>NBFC (other than a company formed and registered under section 25 of the companies act, 1956/ section 8  in companies act 2013)</w:t>
      </w:r>
      <w:r w:rsidR="007443D1">
        <w:rPr>
          <w:rFonts w:ascii="Times New Roman" w:hAnsi="Times New Roman" w:cs="Times New Roman"/>
          <w:sz w:val="24"/>
          <w:szCs w:val="24"/>
          <w:highlight w:val="yellow"/>
        </w:rPr>
        <w:t>"</w:t>
      </w:r>
      <w:r w:rsidR="008724FE">
        <w:rPr>
          <w:rFonts w:ascii="Times New Roman" w:hAnsi="Times New Roman" w:cs="Times New Roman"/>
          <w:sz w:val="24"/>
          <w:szCs w:val="24"/>
          <w:highlight w:val="yellow"/>
        </w:rPr>
        <w:t xml:space="preserve"> is referred </w:t>
      </w:r>
      <w:r w:rsidR="00144184">
        <w:rPr>
          <w:rFonts w:ascii="Times New Roman" w:hAnsi="Times New Roman" w:cs="Times New Roman"/>
          <w:sz w:val="24"/>
          <w:szCs w:val="24"/>
          <w:highlight w:val="yellow"/>
        </w:rPr>
        <w:t xml:space="preserve">to </w:t>
      </w:r>
      <w:r w:rsidR="008724FE">
        <w:rPr>
          <w:rFonts w:ascii="Times New Roman" w:hAnsi="Times New Roman" w:cs="Times New Roman"/>
          <w:sz w:val="24"/>
          <w:szCs w:val="24"/>
          <w:highlight w:val="yellow"/>
        </w:rPr>
        <w:t>as the NBFC-MFI.</w:t>
      </w:r>
      <w:r w:rsidRPr="00707A38">
        <w:rPr>
          <w:rFonts w:ascii="Times New Roman" w:hAnsi="Times New Roman" w:cs="Times New Roman"/>
          <w:sz w:val="24"/>
          <w:szCs w:val="24"/>
          <w:highlight w:val="yellow"/>
        </w:rPr>
        <w:t xml:space="preserve"> The dis</w:t>
      </w:r>
      <w:r w:rsidR="007443D1">
        <w:rPr>
          <w:rFonts w:ascii="Times New Roman" w:hAnsi="Times New Roman" w:cs="Times New Roman"/>
          <w:sz w:val="24"/>
          <w:szCs w:val="24"/>
          <w:highlight w:val="yellow"/>
        </w:rPr>
        <w:t>cl</w:t>
      </w:r>
      <w:r w:rsidRPr="00707A38">
        <w:rPr>
          <w:rFonts w:ascii="Times New Roman" w:hAnsi="Times New Roman" w:cs="Times New Roman"/>
          <w:sz w:val="24"/>
          <w:szCs w:val="24"/>
          <w:highlight w:val="yellow"/>
        </w:rPr>
        <w:t>osure and transparency gui</w:t>
      </w:r>
      <w:r w:rsidR="007443D1">
        <w:rPr>
          <w:rFonts w:ascii="Times New Roman" w:hAnsi="Times New Roman" w:cs="Times New Roman"/>
          <w:sz w:val="24"/>
          <w:szCs w:val="24"/>
          <w:highlight w:val="yellow"/>
        </w:rPr>
        <w:t>del</w:t>
      </w:r>
      <w:r w:rsidRPr="00707A38">
        <w:rPr>
          <w:rFonts w:ascii="Times New Roman" w:hAnsi="Times New Roman" w:cs="Times New Roman"/>
          <w:sz w:val="24"/>
          <w:szCs w:val="24"/>
          <w:highlight w:val="yellow"/>
        </w:rPr>
        <w:t>ines</w:t>
      </w:r>
      <w:r w:rsidR="003E0420">
        <w:rPr>
          <w:rFonts w:ascii="Times New Roman" w:hAnsi="Times New Roman" w:cs="Times New Roman"/>
          <w:sz w:val="24"/>
          <w:szCs w:val="24"/>
          <w:highlight w:val="yellow"/>
        </w:rPr>
        <w:t xml:space="preserve"> of the NBFC-MFI</w:t>
      </w:r>
      <w:r w:rsidRPr="00707A38">
        <w:rPr>
          <w:rFonts w:ascii="Times New Roman" w:hAnsi="Times New Roman" w:cs="Times New Roman"/>
          <w:sz w:val="24"/>
          <w:szCs w:val="24"/>
          <w:highlight w:val="yellow"/>
        </w:rPr>
        <w:t xml:space="preserve"> </w:t>
      </w:r>
      <w:r w:rsidR="007443D1">
        <w:rPr>
          <w:rFonts w:ascii="Times New Roman" w:hAnsi="Times New Roman" w:cs="Times New Roman"/>
          <w:sz w:val="24"/>
          <w:szCs w:val="24"/>
          <w:highlight w:val="yellow"/>
        </w:rPr>
        <w:t>are given</w:t>
      </w:r>
      <w:r w:rsidRPr="00707A38">
        <w:rPr>
          <w:rFonts w:ascii="Times New Roman" w:hAnsi="Times New Roman" w:cs="Times New Roman"/>
          <w:sz w:val="24"/>
          <w:szCs w:val="24"/>
          <w:highlight w:val="yellow"/>
        </w:rPr>
        <w:t xml:space="preserve"> in the special guidelines</w:t>
      </w:r>
      <w:r w:rsidR="007443D1">
        <w:rPr>
          <w:rFonts w:ascii="Times New Roman" w:hAnsi="Times New Roman" w:cs="Times New Roman"/>
          <w:sz w:val="24"/>
          <w:szCs w:val="24"/>
          <w:highlight w:val="yellow"/>
        </w:rPr>
        <w:t xml:space="preserve"> under the</w:t>
      </w:r>
      <w:r w:rsidR="00724635">
        <w:rPr>
          <w:rFonts w:ascii="Times New Roman" w:hAnsi="Times New Roman" w:cs="Times New Roman"/>
          <w:sz w:val="24"/>
          <w:szCs w:val="24"/>
          <w:highlight w:val="yellow"/>
        </w:rPr>
        <w:t xml:space="preserve"> chapter</w:t>
      </w:r>
      <w:r w:rsidRPr="00707A38">
        <w:rPr>
          <w:rFonts w:ascii="Times New Roman" w:hAnsi="Times New Roman" w:cs="Times New Roman"/>
          <w:sz w:val="24"/>
          <w:szCs w:val="24"/>
          <w:highlight w:val="yellow"/>
        </w:rPr>
        <w:t xml:space="preserve"> IX of  RBI </w:t>
      </w:r>
      <w:r w:rsidR="007443D1">
        <w:rPr>
          <w:rFonts w:ascii="Times New Roman" w:hAnsi="Times New Roman" w:cs="Times New Roman"/>
          <w:sz w:val="24"/>
          <w:szCs w:val="24"/>
          <w:highlight w:val="yellow"/>
        </w:rPr>
        <w:t>(</w:t>
      </w:r>
      <w:r w:rsidRPr="00707A38">
        <w:rPr>
          <w:rFonts w:ascii="Times New Roman" w:hAnsi="Times New Roman" w:cs="Times New Roman"/>
          <w:sz w:val="24"/>
          <w:szCs w:val="24"/>
          <w:highlight w:val="yellow"/>
        </w:rPr>
        <w:t>2016</w:t>
      </w:r>
      <w:r w:rsidR="007443D1">
        <w:rPr>
          <w:rFonts w:ascii="Times New Roman" w:hAnsi="Times New Roman" w:cs="Times New Roman"/>
          <w:sz w:val="24"/>
          <w:szCs w:val="24"/>
          <w:highlight w:val="yellow"/>
        </w:rPr>
        <w:t>)</w:t>
      </w:r>
      <w:r w:rsidRPr="00707A38">
        <w:rPr>
          <w:rFonts w:ascii="Times New Roman" w:hAnsi="Times New Roman" w:cs="Times New Roman"/>
          <w:sz w:val="24"/>
          <w:szCs w:val="24"/>
          <w:highlight w:val="yellow"/>
        </w:rPr>
        <w:t xml:space="preserve">. </w:t>
      </w:r>
    </w:p>
    <w:p w:rsidR="005E7075" w:rsidRDefault="00724635" w:rsidP="00707A38">
      <w:pPr>
        <w:spacing w:after="200" w:line="480" w:lineRule="auto"/>
        <w:jc w:val="both"/>
        <w:rPr>
          <w:rFonts w:ascii="Times New Roman" w:hAnsi="Times New Roman" w:cs="Times New Roman"/>
          <w:bCs/>
          <w:sz w:val="24"/>
          <w:szCs w:val="24"/>
          <w:highlight w:val="yellow"/>
        </w:rPr>
      </w:pPr>
      <w:r>
        <w:rPr>
          <w:rFonts w:ascii="Times New Roman" w:hAnsi="Times New Roman" w:cs="Times New Roman"/>
          <w:sz w:val="24"/>
          <w:szCs w:val="24"/>
        </w:rPr>
        <w:t>T</w:t>
      </w:r>
      <w:r w:rsidR="00707A38" w:rsidRPr="00707A38">
        <w:rPr>
          <w:rFonts w:ascii="Times New Roman" w:hAnsi="Times New Roman" w:cs="Times New Roman"/>
          <w:sz w:val="24"/>
          <w:szCs w:val="24"/>
        </w:rPr>
        <w:t xml:space="preserve">he NBFC-MFI code of conduct suggested efficiency </w:t>
      </w:r>
      <w:r w:rsidR="005D100B">
        <w:rPr>
          <w:rFonts w:ascii="Times New Roman" w:hAnsi="Times New Roman" w:cs="Times New Roman"/>
          <w:sz w:val="24"/>
          <w:szCs w:val="24"/>
        </w:rPr>
        <w:t>and operations improvements</w:t>
      </w:r>
      <w:r w:rsidR="00707A38" w:rsidRPr="00707A38">
        <w:rPr>
          <w:rFonts w:ascii="Times New Roman" w:hAnsi="Times New Roman" w:cs="Times New Roman"/>
          <w:sz w:val="24"/>
          <w:szCs w:val="24"/>
        </w:rPr>
        <w:t xml:space="preserve"> to reduce </w:t>
      </w:r>
      <w:r w:rsidR="0052106F">
        <w:rPr>
          <w:rFonts w:ascii="Times New Roman" w:hAnsi="Times New Roman" w:cs="Times New Roman"/>
          <w:sz w:val="24"/>
          <w:szCs w:val="24"/>
        </w:rPr>
        <w:t>the firm's cost</w:t>
      </w:r>
      <w:r w:rsidR="00D00ED7">
        <w:rPr>
          <w:rFonts w:ascii="Times New Roman" w:hAnsi="Times New Roman" w:cs="Times New Roman"/>
          <w:sz w:val="24"/>
          <w:szCs w:val="24"/>
        </w:rPr>
        <w:t xml:space="preserve"> (Ferdousi, 2013)</w:t>
      </w:r>
      <w:r w:rsidR="00707A38" w:rsidRPr="00707A38">
        <w:rPr>
          <w:rFonts w:ascii="Times New Roman" w:hAnsi="Times New Roman" w:cs="Times New Roman"/>
          <w:sz w:val="24"/>
          <w:szCs w:val="24"/>
        </w:rPr>
        <w:t xml:space="preserve">. </w:t>
      </w:r>
      <w:r w:rsidR="005D100B">
        <w:rPr>
          <w:rFonts w:ascii="Times New Roman" w:hAnsi="Times New Roman" w:cs="Times New Roman"/>
          <w:sz w:val="24"/>
          <w:szCs w:val="24"/>
        </w:rPr>
        <w:t>The suggestion</w:t>
      </w:r>
      <w:r w:rsidR="00707A38" w:rsidRPr="00707A38">
        <w:rPr>
          <w:rFonts w:ascii="Times New Roman" w:hAnsi="Times New Roman" w:cs="Times New Roman"/>
          <w:sz w:val="24"/>
          <w:szCs w:val="24"/>
        </w:rPr>
        <w:t xml:space="preserve"> indicates how authorities are reacting to the changing micro-lending environment and the introduction of new organi</w:t>
      </w:r>
      <w:r w:rsidR="006F6FDB">
        <w:rPr>
          <w:rFonts w:ascii="Times New Roman" w:hAnsi="Times New Roman" w:cs="Times New Roman"/>
          <w:sz w:val="24"/>
          <w:szCs w:val="24"/>
        </w:rPr>
        <w:t>s</w:t>
      </w:r>
      <w:r w:rsidR="00707A38" w:rsidRPr="00707A38">
        <w:rPr>
          <w:rFonts w:ascii="Times New Roman" w:hAnsi="Times New Roman" w:cs="Times New Roman"/>
          <w:sz w:val="24"/>
          <w:szCs w:val="24"/>
        </w:rPr>
        <w:t>ations</w:t>
      </w:r>
      <w:r w:rsidR="0052106F" w:rsidRPr="0052106F">
        <w:rPr>
          <w:rFonts w:ascii="Times New Roman" w:hAnsi="Times New Roman" w:cs="Times New Roman"/>
          <w:sz w:val="24"/>
          <w:szCs w:val="24"/>
        </w:rPr>
        <w:t xml:space="preserve"> </w:t>
      </w:r>
      <w:r w:rsidR="0052106F" w:rsidRPr="00707A38">
        <w:rPr>
          <w:rFonts w:ascii="Times New Roman" w:hAnsi="Times New Roman" w:cs="Times New Roman"/>
          <w:sz w:val="24"/>
          <w:szCs w:val="24"/>
        </w:rPr>
        <w:t>in India</w:t>
      </w:r>
      <w:r w:rsidR="00707A38" w:rsidRPr="00707A38">
        <w:rPr>
          <w:rFonts w:ascii="Times New Roman" w:hAnsi="Times New Roman" w:cs="Times New Roman"/>
          <w:sz w:val="24"/>
          <w:szCs w:val="24"/>
        </w:rPr>
        <w:t xml:space="preserve">. The main concern is whether these businesses can survive the fragile micro-lending industry. Since it is a non-deposit-taking entity, NBFC-MFIs have faced liquidity challenges, forcing some to change to deposit-taking entities. Existing and future NBFC-MFIs must adhere to governance and disclosure controls to demonstrate to equity providers, donors, and funding agencies that they are achieving the MFI's dual goal of profit maximisation and overall welfare of </w:t>
      </w:r>
      <w:r w:rsidR="00707A38" w:rsidRPr="00707A38">
        <w:rPr>
          <w:rFonts w:ascii="Times New Roman" w:hAnsi="Times New Roman" w:cs="Times New Roman"/>
          <w:sz w:val="24"/>
          <w:szCs w:val="24"/>
        </w:rPr>
        <w:lastRenderedPageBreak/>
        <w:t>impoverished beneficiaries (Quayes and Hasan 2014).</w:t>
      </w:r>
      <w:r w:rsidR="005D100B">
        <w:rPr>
          <w:rFonts w:ascii="Times New Roman" w:hAnsi="Times New Roman" w:cs="Times New Roman"/>
          <w:sz w:val="24"/>
          <w:szCs w:val="24"/>
        </w:rPr>
        <w:t xml:space="preserve"> </w:t>
      </w:r>
      <w:r w:rsidR="005D100B" w:rsidRPr="005D100B">
        <w:rPr>
          <w:rFonts w:ascii="Times New Roman" w:hAnsi="Times New Roman" w:cs="Times New Roman"/>
          <w:sz w:val="24"/>
          <w:szCs w:val="24"/>
        </w:rPr>
        <w:t xml:space="preserve">As a result, the disclosure protects </w:t>
      </w:r>
      <w:r w:rsidR="005D100B">
        <w:rPr>
          <w:rFonts w:ascii="Times New Roman" w:hAnsi="Times New Roman" w:cs="Times New Roman"/>
          <w:sz w:val="24"/>
          <w:szCs w:val="24"/>
        </w:rPr>
        <w:t>a rapidly expanding industry's reputation and proper operation</w:t>
      </w:r>
      <w:r w:rsidR="005D100B" w:rsidRPr="005D100B">
        <w:rPr>
          <w:rFonts w:ascii="Times New Roman" w:hAnsi="Times New Roman" w:cs="Times New Roman"/>
          <w:sz w:val="24"/>
          <w:szCs w:val="24"/>
        </w:rPr>
        <w:t xml:space="preserve"> that benefits low-income borrowers.</w:t>
      </w:r>
      <w:r w:rsidR="005D100B" w:rsidRPr="005D100B">
        <w:t xml:space="preserve"> </w:t>
      </w:r>
      <w:r w:rsidR="005D100B" w:rsidRPr="005D100B">
        <w:rPr>
          <w:rFonts w:ascii="Times New Roman" w:hAnsi="Times New Roman" w:cs="Times New Roman"/>
          <w:sz w:val="24"/>
          <w:szCs w:val="24"/>
        </w:rPr>
        <w:t>These disclosures offer visibility and accountability for donors and policymakers, putting interested parties at ease and allowing the MFI to access the necessary resources.</w:t>
      </w:r>
      <w:r w:rsidR="005D100B" w:rsidRPr="005D100B">
        <w:t xml:space="preserve"> </w:t>
      </w:r>
      <w:r w:rsidR="005D100B" w:rsidRPr="005D100B">
        <w:rPr>
          <w:rFonts w:ascii="Times New Roman" w:hAnsi="Times New Roman" w:cs="Times New Roman"/>
          <w:sz w:val="24"/>
          <w:szCs w:val="24"/>
        </w:rPr>
        <w:t xml:space="preserve">Corporate disclosure is divided </w:t>
      </w:r>
      <w:r w:rsidR="005D100B">
        <w:rPr>
          <w:rFonts w:ascii="Times New Roman" w:hAnsi="Times New Roman" w:cs="Times New Roman"/>
          <w:sz w:val="24"/>
          <w:szCs w:val="24"/>
        </w:rPr>
        <w:t xml:space="preserve">into two categories: mandatory </w:t>
      </w:r>
      <w:r w:rsidR="005D100B" w:rsidRPr="005D100B">
        <w:rPr>
          <w:rFonts w:ascii="Times New Roman" w:hAnsi="Times New Roman" w:cs="Times New Roman"/>
          <w:sz w:val="24"/>
          <w:szCs w:val="24"/>
        </w:rPr>
        <w:t>and voluntary disclosure.</w:t>
      </w:r>
      <w:r w:rsidR="005D100B" w:rsidRPr="005D100B">
        <w:t xml:space="preserve"> </w:t>
      </w:r>
      <w:r w:rsidR="0003361A">
        <w:rPr>
          <w:rFonts w:ascii="Times New Roman" w:hAnsi="Times New Roman" w:cs="Times New Roman"/>
          <w:sz w:val="24"/>
          <w:szCs w:val="24"/>
        </w:rPr>
        <w:t>The data and information</w:t>
      </w:r>
      <w:r w:rsidR="005D100B" w:rsidRPr="005D100B">
        <w:rPr>
          <w:rFonts w:ascii="Times New Roman" w:hAnsi="Times New Roman" w:cs="Times New Roman"/>
          <w:sz w:val="24"/>
          <w:szCs w:val="24"/>
        </w:rPr>
        <w:t xml:space="preserve"> </w:t>
      </w:r>
      <w:r w:rsidR="0003361A">
        <w:rPr>
          <w:rFonts w:ascii="Times New Roman" w:hAnsi="Times New Roman" w:cs="Times New Roman"/>
          <w:sz w:val="24"/>
          <w:szCs w:val="24"/>
        </w:rPr>
        <w:t>made public</w:t>
      </w:r>
      <w:r w:rsidR="005D100B" w:rsidRPr="005D100B">
        <w:rPr>
          <w:rFonts w:ascii="Times New Roman" w:hAnsi="Times New Roman" w:cs="Times New Roman"/>
          <w:sz w:val="24"/>
          <w:szCs w:val="24"/>
        </w:rPr>
        <w:t xml:space="preserve"> </w:t>
      </w:r>
      <w:r w:rsidR="005D100B">
        <w:rPr>
          <w:rFonts w:ascii="Times New Roman" w:hAnsi="Times New Roman" w:cs="Times New Roman"/>
          <w:sz w:val="24"/>
          <w:szCs w:val="24"/>
        </w:rPr>
        <w:t>over</w:t>
      </w:r>
      <w:r w:rsidR="0003361A">
        <w:rPr>
          <w:rFonts w:ascii="Times New Roman" w:hAnsi="Times New Roman" w:cs="Times New Roman"/>
          <w:sz w:val="24"/>
          <w:szCs w:val="24"/>
        </w:rPr>
        <w:t xml:space="preserve"> the regulatory requirements are</w:t>
      </w:r>
      <w:r w:rsidR="005D100B" w:rsidRPr="005D100B">
        <w:rPr>
          <w:rFonts w:ascii="Times New Roman" w:hAnsi="Times New Roman" w:cs="Times New Roman"/>
          <w:sz w:val="24"/>
          <w:szCs w:val="24"/>
        </w:rPr>
        <w:t xml:space="preserve"> voluntary corporate disclosure.</w:t>
      </w:r>
      <w:r w:rsidR="00707A38" w:rsidRPr="00707A38">
        <w:rPr>
          <w:rFonts w:ascii="Times New Roman" w:hAnsi="Times New Roman" w:cs="Times New Roman"/>
          <w:sz w:val="24"/>
          <w:szCs w:val="24"/>
        </w:rPr>
        <w:t xml:space="preserve"> </w:t>
      </w:r>
      <w:r w:rsidR="00B45B32">
        <w:rPr>
          <w:rFonts w:ascii="Times New Roman" w:hAnsi="Times New Roman" w:cs="Times New Roman"/>
          <w:sz w:val="24"/>
          <w:szCs w:val="24"/>
        </w:rPr>
        <w:t>The financial, non-financial, and strategic disclosure makes the voluntary disclosure</w:t>
      </w:r>
      <w:r w:rsidR="006B4873">
        <w:rPr>
          <w:rFonts w:ascii="Times New Roman" w:hAnsi="Times New Roman" w:cs="Times New Roman"/>
          <w:sz w:val="24"/>
          <w:szCs w:val="24"/>
        </w:rPr>
        <w:t xml:space="preserve"> (Hossain, 2008; Beyer et al., 2010)</w:t>
      </w:r>
      <w:r w:rsidR="00B45B32">
        <w:rPr>
          <w:rFonts w:ascii="Times New Roman" w:hAnsi="Times New Roman" w:cs="Times New Roman"/>
          <w:sz w:val="24"/>
          <w:szCs w:val="24"/>
        </w:rPr>
        <w:t xml:space="preserve">. </w:t>
      </w:r>
      <w:r w:rsidR="00707A38" w:rsidRPr="009D3EB9">
        <w:rPr>
          <w:rFonts w:ascii="Times New Roman" w:hAnsi="Times New Roman" w:cs="Times New Roman"/>
          <w:color w:val="222222"/>
          <w:sz w:val="24"/>
          <w:szCs w:val="24"/>
          <w:shd w:val="clear" w:color="auto" w:fill="FFFFFF"/>
        </w:rPr>
        <w:t>Michels</w:t>
      </w:r>
      <w:r w:rsidR="00707A38" w:rsidRPr="009D3EB9">
        <w:rPr>
          <w:rFonts w:ascii="Times New Roman" w:hAnsi="Times New Roman" w:cs="Times New Roman"/>
          <w:sz w:val="24"/>
          <w:szCs w:val="24"/>
        </w:rPr>
        <w:t xml:space="preserve"> (2012) explains that voluntary</w:t>
      </w:r>
      <w:r w:rsidR="00707A38" w:rsidRPr="00707A38">
        <w:rPr>
          <w:rFonts w:ascii="Times New Roman" w:hAnsi="Times New Roman" w:cs="Times New Roman"/>
          <w:sz w:val="24"/>
          <w:szCs w:val="24"/>
        </w:rPr>
        <w:t xml:space="preserve"> disclosures positively impact the lenders' activity in the microfinance setting where group lending happens. </w:t>
      </w:r>
      <w:r w:rsidR="00572696" w:rsidRPr="00572696">
        <w:rPr>
          <w:rFonts w:ascii="Times New Roman" w:hAnsi="Times New Roman" w:cs="Times New Roman"/>
          <w:sz w:val="24"/>
          <w:szCs w:val="24"/>
          <w:highlight w:val="yellow"/>
        </w:rPr>
        <w:t>As a result, the first sour</w:t>
      </w:r>
      <w:r w:rsidR="00736695">
        <w:rPr>
          <w:rFonts w:ascii="Times New Roman" w:hAnsi="Times New Roman" w:cs="Times New Roman"/>
          <w:sz w:val="24"/>
          <w:szCs w:val="24"/>
          <w:highlight w:val="yellow"/>
        </w:rPr>
        <w:t xml:space="preserve">ce of concern </w:t>
      </w:r>
      <w:r w:rsidR="00572696" w:rsidRPr="00572696">
        <w:rPr>
          <w:rFonts w:ascii="Times New Roman" w:hAnsi="Times New Roman" w:cs="Times New Roman"/>
          <w:sz w:val="24"/>
          <w:szCs w:val="24"/>
          <w:highlight w:val="yellow"/>
        </w:rPr>
        <w:t>is the microfinance</w:t>
      </w:r>
      <w:r w:rsidR="00572696" w:rsidRPr="00572696">
        <w:rPr>
          <w:rFonts w:ascii="Times New Roman" w:hAnsi="Times New Roman" w:cs="Times New Roman"/>
          <w:sz w:val="24"/>
          <w:szCs w:val="24"/>
        </w:rPr>
        <w:t xml:space="preserve"> industry's low disclosure standards, which have an impact on overall social welfare.</w:t>
      </w:r>
      <w:r w:rsidR="00572696">
        <w:rPr>
          <w:rFonts w:ascii="Times New Roman" w:hAnsi="Times New Roman" w:cs="Times New Roman"/>
          <w:sz w:val="24"/>
          <w:szCs w:val="24"/>
        </w:rPr>
        <w:t xml:space="preserve"> </w:t>
      </w:r>
      <w:r w:rsidR="00707A38" w:rsidRPr="00707A38">
        <w:rPr>
          <w:rFonts w:ascii="Times New Roman" w:hAnsi="Times New Roman" w:cs="Times New Roman"/>
          <w:sz w:val="24"/>
          <w:szCs w:val="24"/>
          <w:highlight w:val="yellow"/>
        </w:rPr>
        <w:t xml:space="preserve">Second point of concern is that the NBFC- MFI  have dual objectives of social (Gutiérrez-Nieto et al. 2009) and financial </w:t>
      </w:r>
      <w:r w:rsidR="001903B4">
        <w:rPr>
          <w:rFonts w:ascii="Times New Roman" w:hAnsi="Times New Roman" w:cs="Times New Roman"/>
          <w:sz w:val="24"/>
          <w:szCs w:val="24"/>
          <w:highlight w:val="yellow"/>
        </w:rPr>
        <w:t xml:space="preserve">performance </w:t>
      </w:r>
      <w:r w:rsidR="00707A38" w:rsidRPr="00707A38">
        <w:rPr>
          <w:rFonts w:ascii="Times New Roman" w:hAnsi="Times New Roman" w:cs="Times New Roman"/>
          <w:sz w:val="24"/>
          <w:szCs w:val="24"/>
          <w:highlight w:val="yellow"/>
        </w:rPr>
        <w:t>(Wid</w:t>
      </w:r>
      <w:r w:rsidR="004D4F7F">
        <w:rPr>
          <w:rFonts w:ascii="Times New Roman" w:hAnsi="Times New Roman" w:cs="Times New Roman"/>
          <w:sz w:val="24"/>
          <w:szCs w:val="24"/>
          <w:highlight w:val="yellow"/>
        </w:rPr>
        <w:t xml:space="preserve">iarto and Emrouznejad, 2015).  </w:t>
      </w:r>
      <w:r w:rsidR="00707A38" w:rsidRPr="00707A38">
        <w:rPr>
          <w:rFonts w:ascii="Times New Roman" w:hAnsi="Times New Roman" w:cs="Times New Roman"/>
          <w:sz w:val="24"/>
          <w:szCs w:val="24"/>
          <w:highlight w:val="yellow"/>
        </w:rPr>
        <w:t xml:space="preserve">The </w:t>
      </w:r>
      <w:r w:rsidR="004D4F7F">
        <w:rPr>
          <w:rFonts w:ascii="Times New Roman" w:hAnsi="Times New Roman" w:cs="Times New Roman"/>
          <w:sz w:val="24"/>
          <w:szCs w:val="24"/>
          <w:highlight w:val="yellow"/>
        </w:rPr>
        <w:t xml:space="preserve">study considers firms' </w:t>
      </w:r>
      <w:r w:rsidR="00707A38" w:rsidRPr="00707A38">
        <w:rPr>
          <w:rFonts w:ascii="Times New Roman" w:hAnsi="Times New Roman" w:cs="Times New Roman"/>
          <w:sz w:val="24"/>
          <w:szCs w:val="24"/>
          <w:highlight w:val="yellow"/>
        </w:rPr>
        <w:t>efficiency</w:t>
      </w:r>
      <w:r w:rsidR="004D4F7F">
        <w:rPr>
          <w:rFonts w:ascii="Times New Roman" w:hAnsi="Times New Roman" w:cs="Times New Roman"/>
          <w:sz w:val="24"/>
          <w:szCs w:val="24"/>
          <w:highlight w:val="yellow"/>
        </w:rPr>
        <w:t>, which</w:t>
      </w:r>
      <w:r w:rsidR="00707A38" w:rsidRPr="00707A38">
        <w:rPr>
          <w:rFonts w:ascii="Times New Roman" w:hAnsi="Times New Roman" w:cs="Times New Roman"/>
          <w:sz w:val="24"/>
          <w:szCs w:val="24"/>
          <w:highlight w:val="yellow"/>
        </w:rPr>
        <w:t xml:space="preserve"> indicates the fi</w:t>
      </w:r>
      <w:r w:rsidR="001903B4">
        <w:rPr>
          <w:rFonts w:ascii="Times New Roman" w:hAnsi="Times New Roman" w:cs="Times New Roman"/>
          <w:sz w:val="24"/>
          <w:szCs w:val="24"/>
          <w:highlight w:val="yellow"/>
        </w:rPr>
        <w:t>rms' financial and social performance and sustainability</w:t>
      </w:r>
      <w:r w:rsidR="00707A38" w:rsidRPr="00707A38">
        <w:rPr>
          <w:rFonts w:ascii="Times New Roman" w:hAnsi="Times New Roman" w:cs="Times New Roman"/>
          <w:sz w:val="24"/>
          <w:szCs w:val="24"/>
          <w:highlight w:val="yellow"/>
        </w:rPr>
        <w:t xml:space="preserve"> (Hartarska and Mersland 2012</w:t>
      </w:r>
      <w:r w:rsidR="00736695">
        <w:rPr>
          <w:rFonts w:ascii="Times New Roman" w:hAnsi="Times New Roman" w:cs="Times New Roman"/>
          <w:sz w:val="24"/>
          <w:szCs w:val="24"/>
          <w:highlight w:val="yellow"/>
        </w:rPr>
        <w:t>; Sharma et al. 2020; Sharma and Rastogi</w:t>
      </w:r>
      <w:r w:rsidR="00067E8E">
        <w:rPr>
          <w:rFonts w:ascii="Times New Roman" w:hAnsi="Times New Roman" w:cs="Times New Roman"/>
          <w:sz w:val="24"/>
          <w:szCs w:val="24"/>
          <w:highlight w:val="yellow"/>
        </w:rPr>
        <w:t xml:space="preserve"> </w:t>
      </w:r>
      <w:r w:rsidR="00736695">
        <w:rPr>
          <w:rFonts w:ascii="Times New Roman" w:hAnsi="Times New Roman" w:cs="Times New Roman"/>
          <w:sz w:val="24"/>
          <w:szCs w:val="24"/>
          <w:highlight w:val="yellow"/>
        </w:rPr>
        <w:t>2021</w:t>
      </w:r>
      <w:r w:rsidR="00707A38" w:rsidRPr="00707A38">
        <w:rPr>
          <w:rFonts w:ascii="Times New Roman" w:hAnsi="Times New Roman" w:cs="Times New Roman"/>
          <w:sz w:val="24"/>
          <w:szCs w:val="24"/>
          <w:highlight w:val="yellow"/>
        </w:rPr>
        <w:t>). The sta</w:t>
      </w:r>
      <w:r w:rsidR="001903B4">
        <w:rPr>
          <w:rFonts w:ascii="Times New Roman" w:hAnsi="Times New Roman" w:cs="Times New Roman"/>
          <w:sz w:val="24"/>
          <w:szCs w:val="24"/>
          <w:highlight w:val="yellow"/>
        </w:rPr>
        <w:t>ke</w:t>
      </w:r>
      <w:r w:rsidR="00707A38" w:rsidRPr="00707A38">
        <w:rPr>
          <w:rFonts w:ascii="Times New Roman" w:hAnsi="Times New Roman" w:cs="Times New Roman"/>
          <w:sz w:val="24"/>
          <w:szCs w:val="24"/>
          <w:highlight w:val="yellow"/>
        </w:rPr>
        <w:t>holders want to see if the firms are meeting the objectives</w:t>
      </w:r>
      <w:r w:rsidR="007A5DEB">
        <w:rPr>
          <w:rFonts w:ascii="Times New Roman" w:hAnsi="Times New Roman" w:cs="Times New Roman"/>
          <w:sz w:val="24"/>
          <w:szCs w:val="24"/>
          <w:highlight w:val="yellow"/>
        </w:rPr>
        <w:t xml:space="preserve"> (Von, 1996)</w:t>
      </w:r>
      <w:r w:rsidR="00707A38" w:rsidRPr="00707A38">
        <w:rPr>
          <w:rFonts w:ascii="Times New Roman" w:hAnsi="Times New Roman" w:cs="Times New Roman"/>
          <w:sz w:val="24"/>
          <w:szCs w:val="24"/>
          <w:highlight w:val="yellow"/>
        </w:rPr>
        <w:t xml:space="preserve">. And the third </w:t>
      </w:r>
      <w:r w:rsidR="001903B4">
        <w:rPr>
          <w:rFonts w:ascii="Times New Roman" w:hAnsi="Times New Roman" w:cs="Times New Roman"/>
          <w:sz w:val="24"/>
          <w:szCs w:val="24"/>
          <w:highlight w:val="yellow"/>
        </w:rPr>
        <w:t>central</w:t>
      </w:r>
      <w:r w:rsidR="00707A38" w:rsidRPr="00707A38">
        <w:rPr>
          <w:rFonts w:ascii="Times New Roman" w:hAnsi="Times New Roman" w:cs="Times New Roman"/>
          <w:sz w:val="24"/>
          <w:szCs w:val="24"/>
          <w:highlight w:val="yellow"/>
        </w:rPr>
        <w:t xml:space="preserve"> point of concern </w:t>
      </w:r>
      <w:r w:rsidR="001903B4">
        <w:rPr>
          <w:rFonts w:ascii="Times New Roman" w:hAnsi="Times New Roman" w:cs="Times New Roman"/>
          <w:sz w:val="24"/>
          <w:szCs w:val="24"/>
          <w:highlight w:val="yellow"/>
        </w:rPr>
        <w:t xml:space="preserve">is </w:t>
      </w:r>
      <w:r w:rsidR="00707A38" w:rsidRPr="00707A38">
        <w:rPr>
          <w:rFonts w:ascii="Times New Roman" w:hAnsi="Times New Roman" w:cs="Times New Roman"/>
          <w:sz w:val="24"/>
          <w:szCs w:val="24"/>
          <w:highlight w:val="yellow"/>
        </w:rPr>
        <w:t xml:space="preserve">to </w:t>
      </w:r>
      <w:r w:rsidR="001903B4">
        <w:rPr>
          <w:rFonts w:ascii="Times New Roman" w:hAnsi="Times New Roman" w:cs="Times New Roman"/>
          <w:sz w:val="24"/>
          <w:szCs w:val="24"/>
          <w:highlight w:val="yellow"/>
        </w:rPr>
        <w:t>explore the association of voluntary disclosure and efficiency.</w:t>
      </w:r>
      <w:r w:rsidR="00707A38" w:rsidRPr="00707A38">
        <w:rPr>
          <w:rFonts w:ascii="Times New Roman" w:hAnsi="Times New Roman" w:cs="Times New Roman"/>
          <w:bCs/>
          <w:sz w:val="24"/>
          <w:szCs w:val="24"/>
          <w:highlight w:val="yellow"/>
        </w:rPr>
        <w:t xml:space="preserve"> </w:t>
      </w:r>
    </w:p>
    <w:p w:rsidR="008F10E7" w:rsidRDefault="00707A38" w:rsidP="00707A38">
      <w:pPr>
        <w:spacing w:after="200" w:line="480" w:lineRule="auto"/>
        <w:jc w:val="both"/>
        <w:rPr>
          <w:rFonts w:ascii="Times New Roman" w:hAnsi="Times New Roman" w:cs="Times New Roman"/>
          <w:sz w:val="24"/>
          <w:szCs w:val="24"/>
          <w:shd w:val="clear" w:color="auto" w:fill="FFFFFF"/>
        </w:rPr>
      </w:pPr>
      <w:r w:rsidRPr="00707A38">
        <w:rPr>
          <w:rFonts w:ascii="Times New Roman" w:hAnsi="Times New Roman" w:cs="Times New Roman"/>
          <w:bCs/>
          <w:sz w:val="24"/>
          <w:szCs w:val="24"/>
          <w:highlight w:val="yellow"/>
        </w:rPr>
        <w:t xml:space="preserve">Therefore, the current </w:t>
      </w:r>
      <w:r w:rsidR="005E7075">
        <w:rPr>
          <w:rFonts w:ascii="Times New Roman" w:hAnsi="Times New Roman" w:cs="Times New Roman"/>
          <w:bCs/>
          <w:sz w:val="24"/>
          <w:szCs w:val="24"/>
          <w:highlight w:val="yellow"/>
        </w:rPr>
        <w:t xml:space="preserve">study </w:t>
      </w:r>
      <w:r w:rsidRPr="00707A38">
        <w:rPr>
          <w:rFonts w:ascii="Times New Roman" w:hAnsi="Times New Roman" w:cs="Times New Roman"/>
          <w:bCs/>
          <w:sz w:val="24"/>
          <w:szCs w:val="24"/>
          <w:highlight w:val="yellow"/>
        </w:rPr>
        <w:t>raise</w:t>
      </w:r>
      <w:r w:rsidR="008E2D78">
        <w:rPr>
          <w:rFonts w:ascii="Times New Roman" w:hAnsi="Times New Roman" w:cs="Times New Roman"/>
          <w:bCs/>
          <w:sz w:val="24"/>
          <w:szCs w:val="24"/>
          <w:highlight w:val="yellow"/>
        </w:rPr>
        <w:t>s</w:t>
      </w:r>
      <w:r w:rsidRPr="00707A38">
        <w:rPr>
          <w:rFonts w:ascii="Times New Roman" w:hAnsi="Times New Roman" w:cs="Times New Roman"/>
          <w:bCs/>
          <w:sz w:val="24"/>
          <w:szCs w:val="24"/>
          <w:highlight w:val="yellow"/>
        </w:rPr>
        <w:t xml:space="preserve"> the </w:t>
      </w:r>
      <w:r w:rsidR="005E7075">
        <w:rPr>
          <w:rFonts w:ascii="Times New Roman" w:hAnsi="Times New Roman" w:cs="Times New Roman"/>
          <w:bCs/>
          <w:sz w:val="24"/>
          <w:szCs w:val="24"/>
          <w:highlight w:val="yellow"/>
        </w:rPr>
        <w:t xml:space="preserve">first </w:t>
      </w:r>
      <w:r w:rsidRPr="00707A38">
        <w:rPr>
          <w:rFonts w:ascii="Times New Roman" w:hAnsi="Times New Roman" w:cs="Times New Roman"/>
          <w:bCs/>
          <w:sz w:val="24"/>
          <w:szCs w:val="24"/>
          <w:highlight w:val="yellow"/>
        </w:rPr>
        <w:t xml:space="preserve">objective to </w:t>
      </w:r>
      <w:r w:rsidR="008E2D78">
        <w:rPr>
          <w:rFonts w:ascii="Times New Roman" w:hAnsi="Times New Roman" w:cs="Times New Roman"/>
          <w:bCs/>
          <w:sz w:val="24"/>
          <w:szCs w:val="24"/>
          <w:highlight w:val="yellow"/>
        </w:rPr>
        <w:t>evaluate</w:t>
      </w:r>
      <w:r w:rsidRPr="00707A38">
        <w:rPr>
          <w:rFonts w:ascii="Times New Roman" w:hAnsi="Times New Roman" w:cs="Times New Roman"/>
          <w:bCs/>
          <w:sz w:val="24"/>
          <w:szCs w:val="24"/>
          <w:highlight w:val="yellow"/>
        </w:rPr>
        <w:t xml:space="preserve"> the voluntary disclosures of the </w:t>
      </w:r>
      <w:r w:rsidR="004D4F7F">
        <w:rPr>
          <w:rFonts w:ascii="Times New Roman" w:hAnsi="Times New Roman" w:cs="Times New Roman"/>
          <w:bCs/>
          <w:sz w:val="24"/>
          <w:szCs w:val="24"/>
          <w:highlight w:val="yellow"/>
        </w:rPr>
        <w:t>NBFC-MFI</w:t>
      </w:r>
      <w:r w:rsidR="00E35B78">
        <w:rPr>
          <w:rFonts w:ascii="Times New Roman" w:hAnsi="Times New Roman" w:cs="Times New Roman"/>
          <w:bCs/>
          <w:sz w:val="24"/>
          <w:szCs w:val="24"/>
          <w:highlight w:val="yellow"/>
        </w:rPr>
        <w:t xml:space="preserve"> after constructing a voluntary dis</w:t>
      </w:r>
      <w:r w:rsidR="00822183">
        <w:rPr>
          <w:rFonts w:ascii="Times New Roman" w:hAnsi="Times New Roman" w:cs="Times New Roman"/>
          <w:bCs/>
          <w:sz w:val="24"/>
          <w:szCs w:val="24"/>
          <w:highlight w:val="yellow"/>
        </w:rPr>
        <w:t>cl</w:t>
      </w:r>
      <w:r w:rsidR="00E35B78">
        <w:rPr>
          <w:rFonts w:ascii="Times New Roman" w:hAnsi="Times New Roman" w:cs="Times New Roman"/>
          <w:bCs/>
          <w:sz w:val="24"/>
          <w:szCs w:val="24"/>
          <w:highlight w:val="yellow"/>
        </w:rPr>
        <w:t xml:space="preserve">osure </w:t>
      </w:r>
      <w:r w:rsidRPr="00707A38">
        <w:rPr>
          <w:rFonts w:ascii="Times New Roman" w:hAnsi="Times New Roman" w:cs="Times New Roman"/>
          <w:bCs/>
          <w:sz w:val="24"/>
          <w:szCs w:val="24"/>
          <w:highlight w:val="yellow"/>
        </w:rPr>
        <w:t>index for the same. Secondly</w:t>
      </w:r>
      <w:r w:rsidR="008F10E7">
        <w:rPr>
          <w:rFonts w:ascii="Times New Roman" w:hAnsi="Times New Roman" w:cs="Times New Roman"/>
          <w:bCs/>
          <w:sz w:val="24"/>
          <w:szCs w:val="24"/>
          <w:highlight w:val="yellow"/>
        </w:rPr>
        <w:t>,</w:t>
      </w:r>
      <w:r w:rsidRPr="00707A38">
        <w:rPr>
          <w:rFonts w:ascii="Times New Roman" w:hAnsi="Times New Roman" w:cs="Times New Roman"/>
          <w:bCs/>
          <w:sz w:val="24"/>
          <w:szCs w:val="24"/>
          <w:highlight w:val="yellow"/>
        </w:rPr>
        <w:t xml:space="preserve"> the authors also feel an urge to </w:t>
      </w:r>
      <w:r w:rsidR="008F10E7">
        <w:rPr>
          <w:rFonts w:ascii="Times New Roman" w:hAnsi="Times New Roman" w:cs="Times New Roman"/>
          <w:bCs/>
          <w:sz w:val="24"/>
          <w:szCs w:val="24"/>
          <w:highlight w:val="yellow"/>
        </w:rPr>
        <w:t>determine</w:t>
      </w:r>
      <w:r w:rsidRPr="00707A38">
        <w:rPr>
          <w:rFonts w:ascii="Times New Roman" w:hAnsi="Times New Roman" w:cs="Times New Roman"/>
          <w:bCs/>
          <w:sz w:val="24"/>
          <w:szCs w:val="24"/>
          <w:highlight w:val="yellow"/>
        </w:rPr>
        <w:t xml:space="preserve"> the </w:t>
      </w:r>
      <w:r w:rsidR="004D4F7F">
        <w:rPr>
          <w:rFonts w:ascii="Times New Roman" w:hAnsi="Times New Roman" w:cs="Times New Roman"/>
          <w:bCs/>
          <w:sz w:val="24"/>
          <w:szCs w:val="24"/>
          <w:highlight w:val="yellow"/>
        </w:rPr>
        <w:t>social and financial</w:t>
      </w:r>
      <w:r w:rsidRPr="00707A38">
        <w:rPr>
          <w:rFonts w:ascii="Times New Roman" w:hAnsi="Times New Roman" w:cs="Times New Roman"/>
          <w:bCs/>
          <w:sz w:val="24"/>
          <w:szCs w:val="24"/>
          <w:highlight w:val="yellow"/>
        </w:rPr>
        <w:t xml:space="preserve"> efficiency of the  NBFC- MFI</w:t>
      </w:r>
      <w:r w:rsidR="007443D1">
        <w:rPr>
          <w:rFonts w:ascii="Times New Roman" w:hAnsi="Times New Roman" w:cs="Times New Roman"/>
          <w:bCs/>
          <w:sz w:val="24"/>
          <w:szCs w:val="24"/>
          <w:highlight w:val="yellow"/>
        </w:rPr>
        <w:t>'</w:t>
      </w:r>
      <w:r w:rsidRPr="00707A38">
        <w:rPr>
          <w:rFonts w:ascii="Times New Roman" w:hAnsi="Times New Roman" w:cs="Times New Roman"/>
          <w:bCs/>
          <w:sz w:val="24"/>
          <w:szCs w:val="24"/>
          <w:highlight w:val="yellow"/>
        </w:rPr>
        <w:t>s in India. Thirdly</w:t>
      </w:r>
      <w:r w:rsidR="008F10E7">
        <w:rPr>
          <w:rFonts w:ascii="Times New Roman" w:hAnsi="Times New Roman" w:cs="Times New Roman"/>
          <w:bCs/>
          <w:sz w:val="24"/>
          <w:szCs w:val="24"/>
          <w:highlight w:val="yellow"/>
        </w:rPr>
        <w:t>, to explore the efficiencies associat</w:t>
      </w:r>
      <w:r w:rsidR="00572696">
        <w:rPr>
          <w:rFonts w:ascii="Times New Roman" w:hAnsi="Times New Roman" w:cs="Times New Roman"/>
          <w:bCs/>
          <w:sz w:val="24"/>
          <w:szCs w:val="24"/>
          <w:highlight w:val="yellow"/>
        </w:rPr>
        <w:t>ed</w:t>
      </w:r>
      <w:r w:rsidR="003F016A">
        <w:rPr>
          <w:rFonts w:ascii="Times New Roman" w:hAnsi="Times New Roman" w:cs="Times New Roman"/>
          <w:bCs/>
          <w:sz w:val="24"/>
          <w:szCs w:val="24"/>
          <w:highlight w:val="yellow"/>
        </w:rPr>
        <w:t xml:space="preserve"> with the</w:t>
      </w:r>
      <w:r w:rsidR="008F10E7">
        <w:rPr>
          <w:rFonts w:ascii="Times New Roman" w:hAnsi="Times New Roman" w:cs="Times New Roman"/>
          <w:bCs/>
          <w:sz w:val="24"/>
          <w:szCs w:val="24"/>
          <w:highlight w:val="yellow"/>
        </w:rPr>
        <w:t xml:space="preserve"> voluntary dis</w:t>
      </w:r>
      <w:r w:rsidR="00572696">
        <w:rPr>
          <w:rFonts w:ascii="Times New Roman" w:hAnsi="Times New Roman" w:cs="Times New Roman"/>
          <w:bCs/>
          <w:sz w:val="24"/>
          <w:szCs w:val="24"/>
          <w:highlight w:val="yellow"/>
        </w:rPr>
        <w:t>cl</w:t>
      </w:r>
      <w:r w:rsidR="008F10E7">
        <w:rPr>
          <w:rFonts w:ascii="Times New Roman" w:hAnsi="Times New Roman" w:cs="Times New Roman"/>
          <w:bCs/>
          <w:sz w:val="24"/>
          <w:szCs w:val="24"/>
          <w:highlight w:val="yellow"/>
        </w:rPr>
        <w:t>osures</w:t>
      </w:r>
      <w:r w:rsidRPr="00707A38">
        <w:rPr>
          <w:rFonts w:ascii="Times New Roman" w:hAnsi="Times New Roman" w:cs="Times New Roman"/>
          <w:sz w:val="24"/>
          <w:szCs w:val="24"/>
          <w:shd w:val="clear" w:color="auto" w:fill="FFFFFF"/>
        </w:rPr>
        <w:t xml:space="preserve">. </w:t>
      </w:r>
    </w:p>
    <w:p w:rsidR="0077113C" w:rsidRDefault="008F10E7" w:rsidP="00707A38">
      <w:pPr>
        <w:spacing w:after="20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paper is structured into sections highlighting different research components. The </w:t>
      </w:r>
      <w:r w:rsidR="00960898">
        <w:rPr>
          <w:rFonts w:ascii="Times New Roman" w:hAnsi="Times New Roman" w:cs="Times New Roman"/>
          <w:sz w:val="24"/>
          <w:szCs w:val="24"/>
          <w:shd w:val="clear" w:color="auto" w:fill="FFFFFF"/>
        </w:rPr>
        <w:t>paper's second section</w:t>
      </w:r>
      <w:r>
        <w:rPr>
          <w:rFonts w:ascii="Times New Roman" w:hAnsi="Times New Roman" w:cs="Times New Roman"/>
          <w:sz w:val="24"/>
          <w:szCs w:val="24"/>
          <w:shd w:val="clear" w:color="auto" w:fill="FFFFFF"/>
        </w:rPr>
        <w:t xml:space="preserve"> follows the current section</w:t>
      </w:r>
      <w:r w:rsidR="00707A38" w:rsidRPr="00707A3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r w:rsidR="00707A38" w:rsidRPr="00707A38">
        <w:rPr>
          <w:rFonts w:ascii="Times New Roman" w:hAnsi="Times New Roman" w:cs="Times New Roman"/>
          <w:sz w:val="24"/>
          <w:szCs w:val="24"/>
          <w:shd w:val="clear" w:color="auto" w:fill="FFFFFF"/>
        </w:rPr>
        <w:t xml:space="preserve">includes a </w:t>
      </w:r>
      <w:r w:rsidR="00707A38" w:rsidRPr="00707A38">
        <w:rPr>
          <w:rFonts w:ascii="Times New Roman" w:hAnsi="Times New Roman" w:cs="Times New Roman"/>
          <w:sz w:val="24"/>
          <w:szCs w:val="24"/>
          <w:highlight w:val="yellow"/>
          <w:shd w:val="clear" w:color="auto" w:fill="FFFFFF"/>
        </w:rPr>
        <w:t xml:space="preserve">conceptual framework and </w:t>
      </w:r>
      <w:r w:rsidR="00707A38" w:rsidRPr="00707A38">
        <w:rPr>
          <w:rFonts w:ascii="Times New Roman" w:hAnsi="Times New Roman" w:cs="Times New Roman"/>
          <w:sz w:val="24"/>
          <w:szCs w:val="24"/>
          <w:shd w:val="clear" w:color="auto" w:fill="FFFFFF"/>
        </w:rPr>
        <w:t xml:space="preserve">hypothesis development. </w:t>
      </w:r>
      <w:r w:rsidR="00960898" w:rsidRPr="00960898">
        <w:rPr>
          <w:rFonts w:ascii="Times New Roman" w:hAnsi="Times New Roman" w:cs="Times New Roman"/>
          <w:sz w:val="24"/>
          <w:szCs w:val="24"/>
          <w:shd w:val="clear" w:color="auto" w:fill="FFFFFF"/>
        </w:rPr>
        <w:t>The third section desc</w:t>
      </w:r>
      <w:r w:rsidR="004D4F7F">
        <w:rPr>
          <w:rFonts w:ascii="Times New Roman" w:hAnsi="Times New Roman" w:cs="Times New Roman"/>
          <w:sz w:val="24"/>
          <w:szCs w:val="24"/>
          <w:shd w:val="clear" w:color="auto" w:fill="FFFFFF"/>
        </w:rPr>
        <w:t xml:space="preserve">ribes the research </w:t>
      </w:r>
      <w:r w:rsidR="00960898" w:rsidRPr="00960898">
        <w:rPr>
          <w:rFonts w:ascii="Times New Roman" w:hAnsi="Times New Roman" w:cs="Times New Roman"/>
          <w:sz w:val="24"/>
          <w:szCs w:val="24"/>
          <w:shd w:val="clear" w:color="auto" w:fill="FFFFFF"/>
        </w:rPr>
        <w:t>design</w:t>
      </w:r>
      <w:r w:rsidR="004D4F7F">
        <w:rPr>
          <w:rFonts w:ascii="Times New Roman" w:hAnsi="Times New Roman" w:cs="Times New Roman"/>
          <w:sz w:val="24"/>
          <w:szCs w:val="24"/>
          <w:shd w:val="clear" w:color="auto" w:fill="FFFFFF"/>
        </w:rPr>
        <w:t xml:space="preserve"> and meth</w:t>
      </w:r>
      <w:r w:rsidR="002D383D">
        <w:rPr>
          <w:rFonts w:ascii="Times New Roman" w:hAnsi="Times New Roman" w:cs="Times New Roman"/>
          <w:sz w:val="24"/>
          <w:szCs w:val="24"/>
          <w:shd w:val="clear" w:color="auto" w:fill="FFFFFF"/>
        </w:rPr>
        <w:t>o</w:t>
      </w:r>
      <w:r w:rsidR="004D4F7F">
        <w:rPr>
          <w:rFonts w:ascii="Times New Roman" w:hAnsi="Times New Roman" w:cs="Times New Roman"/>
          <w:sz w:val="24"/>
          <w:szCs w:val="24"/>
          <w:shd w:val="clear" w:color="auto" w:fill="FFFFFF"/>
        </w:rPr>
        <w:t>dology</w:t>
      </w:r>
      <w:r w:rsidR="00960898" w:rsidRPr="00960898">
        <w:rPr>
          <w:rFonts w:ascii="Times New Roman" w:hAnsi="Times New Roman" w:cs="Times New Roman"/>
          <w:sz w:val="24"/>
          <w:szCs w:val="24"/>
          <w:shd w:val="clear" w:color="auto" w:fill="FFFFFF"/>
        </w:rPr>
        <w:t xml:space="preserve">, and the fourth section provides </w:t>
      </w:r>
      <w:r w:rsidR="00822183">
        <w:rPr>
          <w:rFonts w:ascii="Times New Roman" w:hAnsi="Times New Roman" w:cs="Times New Roman"/>
          <w:sz w:val="24"/>
          <w:szCs w:val="24"/>
          <w:shd w:val="clear" w:color="auto" w:fill="FFFFFF"/>
        </w:rPr>
        <w:t xml:space="preserve">the </w:t>
      </w:r>
      <w:r w:rsidR="004D4F7F">
        <w:rPr>
          <w:rFonts w:ascii="Times New Roman" w:hAnsi="Times New Roman" w:cs="Times New Roman"/>
          <w:sz w:val="24"/>
          <w:szCs w:val="24"/>
          <w:shd w:val="clear" w:color="auto" w:fill="FFFFFF"/>
        </w:rPr>
        <w:t>results and findings</w:t>
      </w:r>
      <w:r w:rsidR="000E3A72" w:rsidRPr="000E3A72">
        <w:rPr>
          <w:rFonts w:ascii="Times New Roman" w:hAnsi="Times New Roman" w:cs="Times New Roman"/>
          <w:sz w:val="24"/>
          <w:szCs w:val="24"/>
          <w:shd w:val="clear" w:color="auto" w:fill="FFFFFF"/>
        </w:rPr>
        <w:t>.</w:t>
      </w:r>
      <w:r w:rsidR="0077113C" w:rsidRPr="0077113C">
        <w:t xml:space="preserve"> </w:t>
      </w:r>
      <w:r w:rsidR="0077113C" w:rsidRPr="0077113C">
        <w:rPr>
          <w:rFonts w:ascii="Times New Roman" w:hAnsi="Times New Roman" w:cs="Times New Roman"/>
          <w:sz w:val="24"/>
          <w:szCs w:val="24"/>
          <w:shd w:val="clear" w:color="auto" w:fill="FFFFFF"/>
        </w:rPr>
        <w:t xml:space="preserve">Section </w:t>
      </w:r>
      <w:r w:rsidR="002D383D">
        <w:rPr>
          <w:rFonts w:ascii="Times New Roman" w:hAnsi="Times New Roman" w:cs="Times New Roman"/>
          <w:sz w:val="24"/>
          <w:szCs w:val="24"/>
          <w:shd w:val="clear" w:color="auto" w:fill="FFFFFF"/>
        </w:rPr>
        <w:t>five</w:t>
      </w:r>
      <w:r w:rsidR="0077113C" w:rsidRPr="0077113C">
        <w:rPr>
          <w:rFonts w:ascii="Times New Roman" w:hAnsi="Times New Roman" w:cs="Times New Roman"/>
          <w:sz w:val="24"/>
          <w:szCs w:val="24"/>
          <w:shd w:val="clear" w:color="auto" w:fill="FFFFFF"/>
        </w:rPr>
        <w:t xml:space="preserve"> discusses the implications, while section </w:t>
      </w:r>
      <w:r w:rsidR="002D383D">
        <w:rPr>
          <w:rFonts w:ascii="Times New Roman" w:hAnsi="Times New Roman" w:cs="Times New Roman"/>
          <w:sz w:val="24"/>
          <w:szCs w:val="24"/>
          <w:shd w:val="clear" w:color="auto" w:fill="FFFFFF"/>
        </w:rPr>
        <w:t>six</w:t>
      </w:r>
      <w:r w:rsidR="0077113C" w:rsidRPr="0077113C">
        <w:rPr>
          <w:rFonts w:ascii="Times New Roman" w:hAnsi="Times New Roman" w:cs="Times New Roman"/>
          <w:sz w:val="24"/>
          <w:szCs w:val="24"/>
          <w:shd w:val="clear" w:color="auto" w:fill="FFFFFF"/>
        </w:rPr>
        <w:t xml:space="preserve"> discusses the </w:t>
      </w:r>
      <w:r w:rsidR="00822183">
        <w:rPr>
          <w:rFonts w:ascii="Times New Roman" w:hAnsi="Times New Roman" w:cs="Times New Roman"/>
          <w:sz w:val="24"/>
          <w:szCs w:val="24"/>
          <w:shd w:val="clear" w:color="auto" w:fill="FFFFFF"/>
        </w:rPr>
        <w:t xml:space="preserve">observed </w:t>
      </w:r>
      <w:r w:rsidR="0077113C" w:rsidRPr="0077113C">
        <w:rPr>
          <w:rFonts w:ascii="Times New Roman" w:hAnsi="Times New Roman" w:cs="Times New Roman"/>
          <w:sz w:val="24"/>
          <w:szCs w:val="24"/>
          <w:shd w:val="clear" w:color="auto" w:fill="FFFFFF"/>
        </w:rPr>
        <w:t xml:space="preserve">conclusion and future scope of the </w:t>
      </w:r>
      <w:r w:rsidR="00822183">
        <w:rPr>
          <w:rFonts w:ascii="Times New Roman" w:hAnsi="Times New Roman" w:cs="Times New Roman"/>
          <w:sz w:val="24"/>
          <w:szCs w:val="24"/>
          <w:shd w:val="clear" w:color="auto" w:fill="FFFFFF"/>
        </w:rPr>
        <w:t xml:space="preserve">study. </w:t>
      </w:r>
    </w:p>
    <w:p w:rsidR="00B24F1D" w:rsidRDefault="00B24F1D" w:rsidP="00707A38">
      <w:pPr>
        <w:spacing w:after="200" w:line="480" w:lineRule="auto"/>
        <w:jc w:val="both"/>
        <w:rPr>
          <w:rFonts w:ascii="Times New Roman" w:hAnsi="Times New Roman" w:cs="Times New Roman"/>
          <w:sz w:val="24"/>
          <w:szCs w:val="24"/>
          <w:shd w:val="clear" w:color="auto" w:fill="FFFFFF"/>
        </w:rPr>
      </w:pPr>
    </w:p>
    <w:p w:rsidR="00707A38" w:rsidRPr="00707A38" w:rsidRDefault="00707A38" w:rsidP="00707A38">
      <w:pPr>
        <w:spacing w:after="200" w:line="480" w:lineRule="auto"/>
        <w:jc w:val="both"/>
        <w:rPr>
          <w:rFonts w:ascii="Times New Roman" w:hAnsi="Times New Roman" w:cs="Times New Roman"/>
          <w:b/>
          <w:caps/>
          <w:sz w:val="24"/>
          <w:szCs w:val="24"/>
          <w:shd w:val="clear" w:color="auto" w:fill="FFFFFF"/>
        </w:rPr>
      </w:pPr>
      <w:r w:rsidRPr="00707A38">
        <w:rPr>
          <w:rFonts w:ascii="Times New Roman" w:hAnsi="Times New Roman" w:cs="Times New Roman"/>
          <w:b/>
          <w:sz w:val="24"/>
          <w:szCs w:val="24"/>
          <w:shd w:val="clear" w:color="auto" w:fill="FFFFFF"/>
        </w:rPr>
        <w:t xml:space="preserve">2. </w:t>
      </w:r>
      <w:r w:rsidRPr="00707A38">
        <w:rPr>
          <w:rFonts w:ascii="Times New Roman" w:hAnsi="Times New Roman" w:cs="Times New Roman"/>
          <w:b/>
          <w:caps/>
          <w:sz w:val="24"/>
          <w:szCs w:val="24"/>
          <w:shd w:val="clear" w:color="auto" w:fill="FFFFFF"/>
        </w:rPr>
        <w:t>Conceptual Framework and Hypothesis Development</w:t>
      </w:r>
    </w:p>
    <w:p w:rsidR="00707A38" w:rsidRPr="00707A38" w:rsidRDefault="00707A38" w:rsidP="00707A38">
      <w:pPr>
        <w:spacing w:after="200" w:line="480" w:lineRule="auto"/>
        <w:jc w:val="both"/>
        <w:rPr>
          <w:rFonts w:ascii="Times New Roman" w:hAnsi="Times New Roman" w:cs="Times New Roman"/>
          <w:b/>
          <w:sz w:val="24"/>
          <w:szCs w:val="24"/>
          <w:highlight w:val="yellow"/>
          <w:shd w:val="clear" w:color="auto" w:fill="FFFFFF"/>
        </w:rPr>
      </w:pPr>
      <w:r w:rsidRPr="00707A38">
        <w:rPr>
          <w:rFonts w:ascii="Times New Roman" w:hAnsi="Times New Roman" w:cs="Times New Roman"/>
          <w:b/>
          <w:sz w:val="24"/>
          <w:szCs w:val="24"/>
          <w:highlight w:val="yellow"/>
          <w:shd w:val="clear" w:color="auto" w:fill="FFFFFF"/>
        </w:rPr>
        <w:t xml:space="preserve">2.1 </w:t>
      </w:r>
      <w:r w:rsidR="00AC051E">
        <w:rPr>
          <w:rFonts w:ascii="Times New Roman" w:hAnsi="Times New Roman" w:cs="Times New Roman"/>
          <w:b/>
          <w:sz w:val="24"/>
          <w:szCs w:val="24"/>
          <w:highlight w:val="yellow"/>
          <w:shd w:val="clear" w:color="auto" w:fill="FFFFFF"/>
        </w:rPr>
        <w:t xml:space="preserve">Theory and </w:t>
      </w:r>
      <w:r w:rsidR="00CD06AE">
        <w:rPr>
          <w:rFonts w:ascii="Times New Roman" w:hAnsi="Times New Roman" w:cs="Times New Roman"/>
          <w:b/>
          <w:sz w:val="24"/>
          <w:szCs w:val="24"/>
          <w:highlight w:val="yellow"/>
          <w:shd w:val="clear" w:color="auto" w:fill="FFFFFF"/>
        </w:rPr>
        <w:t>determinants</w:t>
      </w:r>
      <w:r w:rsidRPr="00707A38">
        <w:rPr>
          <w:rFonts w:ascii="Times New Roman" w:hAnsi="Times New Roman" w:cs="Times New Roman"/>
          <w:b/>
          <w:sz w:val="24"/>
          <w:szCs w:val="24"/>
          <w:highlight w:val="yellow"/>
          <w:shd w:val="clear" w:color="auto" w:fill="FFFFFF"/>
        </w:rPr>
        <w:t xml:space="preserve"> of Voluntary disclosures </w:t>
      </w:r>
    </w:p>
    <w:p w:rsidR="00B74EC9" w:rsidRDefault="00707A38" w:rsidP="00707A38">
      <w:pPr>
        <w:spacing w:after="200" w:line="480" w:lineRule="auto"/>
        <w:jc w:val="both"/>
        <w:rPr>
          <w:rFonts w:ascii="Times New Roman" w:hAnsi="Times New Roman" w:cs="Times New Roman"/>
          <w:sz w:val="24"/>
          <w:szCs w:val="24"/>
          <w:shd w:val="clear" w:color="auto" w:fill="FFFFFF"/>
        </w:rPr>
      </w:pPr>
      <w:r w:rsidRPr="00707A38">
        <w:rPr>
          <w:rFonts w:ascii="Times New Roman" w:hAnsi="Times New Roman" w:cs="Times New Roman"/>
          <w:sz w:val="24"/>
          <w:szCs w:val="24"/>
          <w:highlight w:val="yellow"/>
          <w:shd w:val="clear" w:color="auto" w:fill="FFFFFF"/>
        </w:rPr>
        <w:t xml:space="preserve">Voluntary disclosure </w:t>
      </w:r>
      <w:r w:rsidR="00F10051">
        <w:rPr>
          <w:rFonts w:ascii="Times New Roman" w:hAnsi="Times New Roman" w:cs="Times New Roman"/>
          <w:sz w:val="24"/>
          <w:szCs w:val="24"/>
          <w:highlight w:val="yellow"/>
          <w:shd w:val="clear" w:color="auto" w:fill="FFFFFF"/>
        </w:rPr>
        <w:t xml:space="preserve">(VD) </w:t>
      </w:r>
      <w:r w:rsidRPr="00707A38">
        <w:rPr>
          <w:rFonts w:ascii="Times New Roman" w:hAnsi="Times New Roman" w:cs="Times New Roman"/>
          <w:sz w:val="24"/>
          <w:szCs w:val="24"/>
          <w:highlight w:val="yellow"/>
          <w:shd w:val="clear" w:color="auto" w:fill="FFFFFF"/>
        </w:rPr>
        <w:t>is a decision of the company</w:t>
      </w:r>
      <w:r w:rsidR="007443D1">
        <w:rPr>
          <w:rFonts w:ascii="Times New Roman" w:hAnsi="Times New Roman" w:cs="Times New Roman"/>
          <w:sz w:val="24"/>
          <w:szCs w:val="24"/>
          <w:highlight w:val="yellow"/>
          <w:shd w:val="clear" w:color="auto" w:fill="FFFFFF"/>
        </w:rPr>
        <w:t>'</w:t>
      </w:r>
      <w:r w:rsidRPr="00707A38">
        <w:rPr>
          <w:rFonts w:ascii="Times New Roman" w:hAnsi="Times New Roman" w:cs="Times New Roman"/>
          <w:sz w:val="24"/>
          <w:szCs w:val="24"/>
          <w:highlight w:val="yellow"/>
          <w:shd w:val="clear" w:color="auto" w:fill="FFFFFF"/>
        </w:rPr>
        <w:t>s management</w:t>
      </w:r>
      <w:r w:rsidR="00D00C32">
        <w:rPr>
          <w:rFonts w:ascii="Times New Roman" w:hAnsi="Times New Roman" w:cs="Times New Roman"/>
          <w:sz w:val="24"/>
          <w:szCs w:val="24"/>
          <w:highlight w:val="yellow"/>
          <w:shd w:val="clear" w:color="auto" w:fill="FFFFFF"/>
        </w:rPr>
        <w:t xml:space="preserve"> to provide information</w:t>
      </w:r>
      <w:r w:rsidRPr="00707A38">
        <w:rPr>
          <w:rFonts w:ascii="Times New Roman" w:hAnsi="Times New Roman" w:cs="Times New Roman"/>
          <w:sz w:val="24"/>
          <w:szCs w:val="24"/>
          <w:highlight w:val="yellow"/>
          <w:shd w:val="clear" w:color="auto" w:fill="FFFFFF"/>
        </w:rPr>
        <w:t xml:space="preserve"> beyond the legal requirements and is not mandated by the regulatory authorities (Hossain and Hammami, 2009; </w:t>
      </w:r>
      <w:r w:rsidR="00BF45F1">
        <w:rPr>
          <w:rFonts w:ascii="Times New Roman" w:hAnsi="Times New Roman" w:cs="Times New Roman"/>
          <w:sz w:val="24"/>
          <w:szCs w:val="24"/>
          <w:highlight w:val="yellow"/>
          <w:shd w:val="clear" w:color="auto" w:fill="FFFFFF"/>
        </w:rPr>
        <w:t>Scaltrito, 2016)</w:t>
      </w:r>
      <w:r w:rsidR="00E71A4E">
        <w:rPr>
          <w:rFonts w:ascii="Times New Roman" w:hAnsi="Times New Roman" w:cs="Times New Roman"/>
          <w:sz w:val="24"/>
          <w:szCs w:val="24"/>
          <w:highlight w:val="yellow"/>
          <w:shd w:val="clear" w:color="auto" w:fill="FFFFFF"/>
        </w:rPr>
        <w:t xml:space="preserve">. </w:t>
      </w:r>
      <w:r w:rsidRPr="00707A38">
        <w:rPr>
          <w:rFonts w:ascii="Times New Roman" w:hAnsi="Times New Roman" w:cs="Times New Roman"/>
          <w:sz w:val="24"/>
          <w:szCs w:val="24"/>
          <w:highlight w:val="yellow"/>
          <w:shd w:val="clear" w:color="auto" w:fill="FFFFFF"/>
        </w:rPr>
        <w:t xml:space="preserve">The information can be financial, non-financial, social, environmental, and </w:t>
      </w:r>
      <w:r w:rsidR="00D10199">
        <w:rPr>
          <w:rFonts w:ascii="Times New Roman" w:hAnsi="Times New Roman" w:cs="Times New Roman"/>
          <w:sz w:val="24"/>
          <w:szCs w:val="24"/>
          <w:highlight w:val="yellow"/>
          <w:shd w:val="clear" w:color="auto" w:fill="FFFFFF"/>
        </w:rPr>
        <w:t>revealed</w:t>
      </w:r>
      <w:r w:rsidRPr="00707A38">
        <w:rPr>
          <w:rFonts w:ascii="Times New Roman" w:hAnsi="Times New Roman" w:cs="Times New Roman"/>
          <w:sz w:val="24"/>
          <w:szCs w:val="24"/>
          <w:highlight w:val="yellow"/>
          <w:shd w:val="clear" w:color="auto" w:fill="FFFFFF"/>
        </w:rPr>
        <w:t xml:space="preserve"> in the company's </w:t>
      </w:r>
      <w:r w:rsidR="00652C3F">
        <w:rPr>
          <w:rFonts w:ascii="Times New Roman" w:hAnsi="Times New Roman" w:cs="Times New Roman"/>
          <w:sz w:val="24"/>
          <w:szCs w:val="24"/>
          <w:highlight w:val="yellow"/>
          <w:shd w:val="clear" w:color="auto" w:fill="FFFFFF"/>
        </w:rPr>
        <w:t>periodical reports</w:t>
      </w:r>
      <w:r w:rsidRPr="00707A38">
        <w:rPr>
          <w:rFonts w:ascii="Times New Roman" w:hAnsi="Times New Roman" w:cs="Times New Roman"/>
          <w:sz w:val="24"/>
          <w:szCs w:val="24"/>
          <w:highlight w:val="yellow"/>
          <w:shd w:val="clear" w:color="auto" w:fill="FFFFFF"/>
        </w:rPr>
        <w:t xml:space="preserve"> and is relevant</w:t>
      </w:r>
      <w:r w:rsidR="00A97C7B">
        <w:rPr>
          <w:rFonts w:ascii="Times New Roman" w:hAnsi="Times New Roman" w:cs="Times New Roman"/>
          <w:sz w:val="24"/>
          <w:szCs w:val="24"/>
          <w:highlight w:val="yellow"/>
          <w:shd w:val="clear" w:color="auto" w:fill="FFFFFF"/>
        </w:rPr>
        <w:t xml:space="preserve"> for the company's stakeholders.</w:t>
      </w:r>
      <w:r w:rsidRPr="00707A38">
        <w:rPr>
          <w:rFonts w:ascii="Times New Roman" w:hAnsi="Times New Roman" w:cs="Times New Roman"/>
          <w:sz w:val="24"/>
          <w:szCs w:val="24"/>
          <w:highlight w:val="yellow"/>
          <w:shd w:val="clear" w:color="auto" w:fill="FFFFFF"/>
        </w:rPr>
        <w:t xml:space="preserve"> </w:t>
      </w:r>
      <w:r w:rsidR="00F10051">
        <w:rPr>
          <w:rFonts w:ascii="Times New Roman" w:hAnsi="Times New Roman" w:cs="Times New Roman"/>
          <w:sz w:val="24"/>
          <w:szCs w:val="24"/>
          <w:shd w:val="clear" w:color="auto" w:fill="FFFFFF"/>
        </w:rPr>
        <w:t>VD</w:t>
      </w:r>
      <w:r w:rsidR="00652C3F" w:rsidRPr="00652C3F">
        <w:rPr>
          <w:rFonts w:ascii="Times New Roman" w:hAnsi="Times New Roman" w:cs="Times New Roman"/>
          <w:sz w:val="24"/>
          <w:szCs w:val="24"/>
          <w:shd w:val="clear" w:color="auto" w:fill="FFFFFF"/>
        </w:rPr>
        <w:t xml:space="preserve"> </w:t>
      </w:r>
      <w:r w:rsidR="00A97C7B">
        <w:rPr>
          <w:rFonts w:ascii="Times New Roman" w:hAnsi="Times New Roman" w:cs="Times New Roman"/>
          <w:sz w:val="24"/>
          <w:szCs w:val="24"/>
          <w:shd w:val="clear" w:color="auto" w:fill="FFFFFF"/>
        </w:rPr>
        <w:t>(</w:t>
      </w:r>
      <w:r w:rsidR="0045155D" w:rsidRPr="0045155D">
        <w:rPr>
          <w:rFonts w:ascii="Times New Roman" w:hAnsi="Times New Roman" w:cs="Times New Roman"/>
          <w:sz w:val="24"/>
          <w:szCs w:val="24"/>
          <w:shd w:val="clear" w:color="auto" w:fill="FFFFFF"/>
        </w:rPr>
        <w:t xml:space="preserve">Abeysekera </w:t>
      </w:r>
      <w:r w:rsidR="00A97C7B">
        <w:rPr>
          <w:rFonts w:ascii="Times New Roman" w:hAnsi="Times New Roman" w:cs="Times New Roman"/>
          <w:sz w:val="24"/>
          <w:szCs w:val="24"/>
          <w:shd w:val="clear" w:color="auto" w:fill="FFFFFF"/>
        </w:rPr>
        <w:t xml:space="preserve">and Guthrie, 2005) </w:t>
      </w:r>
      <w:r w:rsidR="00652C3F" w:rsidRPr="00652C3F">
        <w:rPr>
          <w:rFonts w:ascii="Times New Roman" w:hAnsi="Times New Roman" w:cs="Times New Roman"/>
          <w:sz w:val="24"/>
          <w:szCs w:val="24"/>
          <w:shd w:val="clear" w:color="auto" w:fill="FFFFFF"/>
        </w:rPr>
        <w:t xml:space="preserve">is a strategy used to endorse a company's </w:t>
      </w:r>
      <w:r w:rsidR="00F10051" w:rsidRPr="00652C3F">
        <w:rPr>
          <w:rFonts w:ascii="Times New Roman" w:hAnsi="Times New Roman" w:cs="Times New Roman"/>
          <w:sz w:val="24"/>
          <w:szCs w:val="24"/>
          <w:shd w:val="clear" w:color="auto" w:fill="FFFFFF"/>
        </w:rPr>
        <w:t>philosophies</w:t>
      </w:r>
      <w:r w:rsidR="00652C3F" w:rsidRPr="00652C3F">
        <w:rPr>
          <w:rFonts w:ascii="Times New Roman" w:hAnsi="Times New Roman" w:cs="Times New Roman"/>
          <w:sz w:val="24"/>
          <w:szCs w:val="24"/>
          <w:shd w:val="clear" w:color="auto" w:fill="FFFFFF"/>
        </w:rPr>
        <w:t xml:space="preserve"> to prospective </w:t>
      </w:r>
      <w:r w:rsidR="00F10051" w:rsidRPr="00652C3F">
        <w:rPr>
          <w:rFonts w:ascii="Times New Roman" w:hAnsi="Times New Roman" w:cs="Times New Roman"/>
          <w:sz w:val="24"/>
          <w:szCs w:val="24"/>
          <w:shd w:val="clear" w:color="auto" w:fill="FFFFFF"/>
        </w:rPr>
        <w:t>shareholders</w:t>
      </w:r>
      <w:r w:rsidR="00652C3F" w:rsidRPr="00652C3F">
        <w:rPr>
          <w:rFonts w:ascii="Times New Roman" w:hAnsi="Times New Roman" w:cs="Times New Roman"/>
          <w:sz w:val="24"/>
          <w:szCs w:val="24"/>
          <w:shd w:val="clear" w:color="auto" w:fill="FFFFFF"/>
        </w:rPr>
        <w:t xml:space="preserve"> to ensure </w:t>
      </w:r>
      <w:r w:rsidR="00F10051">
        <w:rPr>
          <w:rFonts w:ascii="Times New Roman" w:hAnsi="Times New Roman" w:cs="Times New Roman"/>
          <w:sz w:val="24"/>
          <w:szCs w:val="24"/>
          <w:shd w:val="clear" w:color="auto" w:fill="FFFFFF"/>
        </w:rPr>
        <w:t xml:space="preserve">sustainable growth and </w:t>
      </w:r>
      <w:r w:rsidR="00652C3F" w:rsidRPr="00652C3F">
        <w:rPr>
          <w:rFonts w:ascii="Times New Roman" w:hAnsi="Times New Roman" w:cs="Times New Roman"/>
          <w:sz w:val="24"/>
          <w:szCs w:val="24"/>
          <w:shd w:val="clear" w:color="auto" w:fill="FFFFFF"/>
        </w:rPr>
        <w:t>survival</w:t>
      </w:r>
      <w:r w:rsidR="00A97C7B">
        <w:rPr>
          <w:rFonts w:ascii="Times New Roman" w:hAnsi="Times New Roman" w:cs="Times New Roman"/>
          <w:sz w:val="24"/>
          <w:szCs w:val="24"/>
          <w:shd w:val="clear" w:color="auto" w:fill="FFFFFF"/>
        </w:rPr>
        <w:t>.</w:t>
      </w:r>
      <w:r w:rsidR="00652C3F" w:rsidRPr="00652C3F">
        <w:rPr>
          <w:rFonts w:ascii="Times New Roman" w:hAnsi="Times New Roman" w:cs="Times New Roman"/>
          <w:sz w:val="24"/>
          <w:szCs w:val="24"/>
          <w:shd w:val="clear" w:color="auto" w:fill="FFFFFF"/>
        </w:rPr>
        <w:t xml:space="preserve"> </w:t>
      </w:r>
    </w:p>
    <w:p w:rsidR="00707A38" w:rsidRPr="00A97C7B" w:rsidRDefault="00707A38" w:rsidP="00707A38">
      <w:pPr>
        <w:spacing w:after="200" w:line="480" w:lineRule="auto"/>
        <w:jc w:val="both"/>
        <w:rPr>
          <w:rFonts w:ascii="Times New Roman" w:hAnsi="Times New Roman" w:cs="Times New Roman"/>
          <w:sz w:val="24"/>
          <w:szCs w:val="24"/>
          <w:shd w:val="clear" w:color="auto" w:fill="FFFFFF"/>
        </w:rPr>
      </w:pPr>
      <w:r w:rsidRPr="00707A38">
        <w:rPr>
          <w:rFonts w:ascii="Times New Roman" w:hAnsi="Times New Roman" w:cs="Times New Roman"/>
          <w:sz w:val="24"/>
          <w:szCs w:val="24"/>
          <w:highlight w:val="yellow"/>
          <w:shd w:val="clear" w:color="auto" w:fill="FFFFFF"/>
        </w:rPr>
        <w:t xml:space="preserve">A recent study </w:t>
      </w:r>
      <w:r w:rsidR="00F659B7">
        <w:rPr>
          <w:rFonts w:ascii="Times New Roman" w:hAnsi="Times New Roman" w:cs="Times New Roman"/>
          <w:sz w:val="24"/>
          <w:szCs w:val="24"/>
          <w:highlight w:val="yellow"/>
          <w:shd w:val="clear" w:color="auto" w:fill="FFFFFF"/>
        </w:rPr>
        <w:t>(Zamil</w:t>
      </w:r>
      <w:r w:rsidR="000F5795">
        <w:rPr>
          <w:rFonts w:ascii="Times New Roman" w:hAnsi="Times New Roman" w:cs="Times New Roman"/>
          <w:sz w:val="24"/>
          <w:szCs w:val="24"/>
          <w:highlight w:val="yellow"/>
          <w:shd w:val="clear" w:color="auto" w:fill="FFFFFF"/>
        </w:rPr>
        <w:t xml:space="preserve"> et al.</w:t>
      </w:r>
      <w:r w:rsidR="00F659B7">
        <w:rPr>
          <w:rFonts w:ascii="Times New Roman" w:hAnsi="Times New Roman" w:cs="Times New Roman"/>
          <w:sz w:val="24"/>
          <w:szCs w:val="24"/>
          <w:highlight w:val="yellow"/>
          <w:shd w:val="clear" w:color="auto" w:fill="FFFFFF"/>
        </w:rPr>
        <w:t xml:space="preserve">, 2021) </w:t>
      </w:r>
      <w:r w:rsidRPr="00707A38">
        <w:rPr>
          <w:rFonts w:ascii="Times New Roman" w:hAnsi="Times New Roman" w:cs="Times New Roman"/>
          <w:sz w:val="24"/>
          <w:szCs w:val="24"/>
          <w:highlight w:val="yellow"/>
          <w:shd w:val="clear" w:color="auto" w:fill="FFFFFF"/>
        </w:rPr>
        <w:t xml:space="preserve">has linked 36 different theories to the concept of voluntary disclosures, which explains the reporting practices of the companies. Prior literature suggests </w:t>
      </w:r>
      <w:r w:rsidR="00DC5BD3">
        <w:rPr>
          <w:rFonts w:ascii="Times New Roman" w:hAnsi="Times New Roman" w:cs="Times New Roman"/>
          <w:sz w:val="24"/>
          <w:szCs w:val="24"/>
          <w:highlight w:val="yellow"/>
          <w:shd w:val="clear" w:color="auto" w:fill="FFFFFF"/>
        </w:rPr>
        <w:t xml:space="preserve">the </w:t>
      </w:r>
      <w:r w:rsidRPr="00707A38">
        <w:rPr>
          <w:rFonts w:ascii="Times New Roman" w:hAnsi="Times New Roman" w:cs="Times New Roman"/>
          <w:sz w:val="24"/>
          <w:szCs w:val="24"/>
          <w:highlight w:val="yellow"/>
          <w:shd w:val="clear" w:color="auto" w:fill="FFFFFF"/>
        </w:rPr>
        <w:t xml:space="preserve">socio-political perspective is </w:t>
      </w:r>
      <w:r w:rsidR="00DC5BD3">
        <w:rPr>
          <w:rFonts w:ascii="Times New Roman" w:hAnsi="Times New Roman" w:cs="Times New Roman"/>
          <w:sz w:val="24"/>
          <w:szCs w:val="24"/>
          <w:highlight w:val="yellow"/>
          <w:shd w:val="clear" w:color="auto" w:fill="FFFFFF"/>
        </w:rPr>
        <w:t>relat</w:t>
      </w:r>
      <w:r w:rsidRPr="00707A38">
        <w:rPr>
          <w:rFonts w:ascii="Times New Roman" w:hAnsi="Times New Roman" w:cs="Times New Roman"/>
          <w:sz w:val="24"/>
          <w:szCs w:val="24"/>
          <w:highlight w:val="yellow"/>
          <w:shd w:val="clear" w:color="auto" w:fill="FFFFFF"/>
        </w:rPr>
        <w:t>ed to legitimacy, institutional, stakeholder, and political theory</w:t>
      </w:r>
      <w:r w:rsidR="00DC5BD3">
        <w:rPr>
          <w:rFonts w:ascii="Times New Roman" w:hAnsi="Times New Roman" w:cs="Times New Roman"/>
          <w:sz w:val="24"/>
          <w:szCs w:val="24"/>
          <w:highlight w:val="yellow"/>
          <w:shd w:val="clear" w:color="auto" w:fill="FFFFFF"/>
        </w:rPr>
        <w:t>,</w:t>
      </w:r>
      <w:r w:rsidRPr="00707A38">
        <w:rPr>
          <w:rFonts w:ascii="Times New Roman" w:hAnsi="Times New Roman" w:cs="Times New Roman"/>
          <w:sz w:val="24"/>
          <w:szCs w:val="24"/>
          <w:highlight w:val="yellow"/>
          <w:shd w:val="clear" w:color="auto" w:fill="FFFFFF"/>
        </w:rPr>
        <w:t xml:space="preserve"> and </w:t>
      </w:r>
      <w:r w:rsidR="00DC5BD3">
        <w:rPr>
          <w:rFonts w:ascii="Times New Roman" w:hAnsi="Times New Roman" w:cs="Times New Roman"/>
          <w:sz w:val="24"/>
          <w:szCs w:val="24"/>
          <w:highlight w:val="yellow"/>
          <w:shd w:val="clear" w:color="auto" w:fill="FFFFFF"/>
        </w:rPr>
        <w:t xml:space="preserve">the </w:t>
      </w:r>
      <w:r w:rsidRPr="00707A38">
        <w:rPr>
          <w:rFonts w:ascii="Times New Roman" w:hAnsi="Times New Roman" w:cs="Times New Roman"/>
          <w:sz w:val="24"/>
          <w:szCs w:val="24"/>
          <w:highlight w:val="yellow"/>
          <w:shd w:val="clear" w:color="auto" w:fill="FFFFFF"/>
        </w:rPr>
        <w:t xml:space="preserve">economic </w:t>
      </w:r>
      <w:r w:rsidR="00DC5BD3">
        <w:rPr>
          <w:rFonts w:ascii="Times New Roman" w:hAnsi="Times New Roman" w:cs="Times New Roman"/>
          <w:sz w:val="24"/>
          <w:szCs w:val="24"/>
          <w:highlight w:val="yellow"/>
          <w:shd w:val="clear" w:color="auto" w:fill="FFFFFF"/>
        </w:rPr>
        <w:t>view</w:t>
      </w:r>
      <w:r w:rsidRPr="00707A38">
        <w:rPr>
          <w:rFonts w:ascii="Times New Roman" w:hAnsi="Times New Roman" w:cs="Times New Roman"/>
          <w:sz w:val="24"/>
          <w:szCs w:val="24"/>
          <w:highlight w:val="yellow"/>
          <w:shd w:val="clear" w:color="auto" w:fill="FFFFFF"/>
        </w:rPr>
        <w:t xml:space="preserve"> is linked to the agency, signaling, and capital theory.  </w:t>
      </w:r>
    </w:p>
    <w:p w:rsidR="00707A38" w:rsidRPr="00B24F1D" w:rsidRDefault="00173DCF" w:rsidP="00707A38">
      <w:pPr>
        <w:spacing w:after="200" w:line="480" w:lineRule="auto"/>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highlight w:val="yellow"/>
          <w:shd w:val="clear" w:color="auto" w:fill="FFFFFF"/>
        </w:rPr>
        <w:t xml:space="preserve">Jensen and Meckling (1976) gave </w:t>
      </w:r>
      <w:r w:rsidR="00D8029F">
        <w:rPr>
          <w:rFonts w:ascii="Times New Roman" w:hAnsi="Times New Roman" w:cs="Times New Roman"/>
          <w:sz w:val="24"/>
          <w:szCs w:val="24"/>
          <w:highlight w:val="yellow"/>
          <w:shd w:val="clear" w:color="auto" w:fill="FFFFFF"/>
        </w:rPr>
        <w:t>'</w:t>
      </w:r>
      <w:r w:rsidR="00707A38" w:rsidRPr="00707A38">
        <w:rPr>
          <w:rFonts w:ascii="Times New Roman" w:hAnsi="Times New Roman" w:cs="Times New Roman"/>
          <w:sz w:val="24"/>
          <w:szCs w:val="24"/>
          <w:highlight w:val="yellow"/>
          <w:shd w:val="clear" w:color="auto" w:fill="FFFFFF"/>
        </w:rPr>
        <w:t>Agency theory</w:t>
      </w:r>
      <w:r w:rsidR="00D8029F">
        <w:rPr>
          <w:rFonts w:ascii="Times New Roman" w:hAnsi="Times New Roman" w:cs="Times New Roman"/>
          <w:sz w:val="24"/>
          <w:szCs w:val="24"/>
          <w:highlight w:val="yellow"/>
          <w:shd w:val="clear" w:color="auto" w:fill="FFFFFF"/>
        </w:rPr>
        <w:t>'</w:t>
      </w:r>
      <w:r w:rsidR="00707A38" w:rsidRPr="00707A38">
        <w:rPr>
          <w:rFonts w:ascii="Times New Roman" w:hAnsi="Times New Roman" w:cs="Times New Roman"/>
          <w:sz w:val="24"/>
          <w:szCs w:val="24"/>
          <w:highlight w:val="yellow"/>
          <w:shd w:val="clear" w:color="auto" w:fill="FFFFFF"/>
        </w:rPr>
        <w:t xml:space="preserve"> is well studied and </w:t>
      </w:r>
      <w:r w:rsidR="00BB15B3" w:rsidRPr="00707A38">
        <w:rPr>
          <w:rFonts w:ascii="Times New Roman" w:hAnsi="Times New Roman" w:cs="Times New Roman"/>
          <w:sz w:val="24"/>
          <w:szCs w:val="24"/>
          <w:highlight w:val="yellow"/>
          <w:shd w:val="clear" w:color="auto" w:fill="FFFFFF"/>
        </w:rPr>
        <w:t>extensively</w:t>
      </w:r>
      <w:r w:rsidR="00707A38" w:rsidRPr="00707A38">
        <w:rPr>
          <w:rFonts w:ascii="Times New Roman" w:hAnsi="Times New Roman" w:cs="Times New Roman"/>
          <w:sz w:val="24"/>
          <w:szCs w:val="24"/>
          <w:highlight w:val="yellow"/>
          <w:shd w:val="clear" w:color="auto" w:fill="FFFFFF"/>
        </w:rPr>
        <w:t xml:space="preserve"> used </w:t>
      </w:r>
      <w:r w:rsidR="00DC5BD3">
        <w:rPr>
          <w:rFonts w:ascii="Times New Roman" w:hAnsi="Times New Roman" w:cs="Times New Roman"/>
          <w:sz w:val="24"/>
          <w:szCs w:val="24"/>
          <w:highlight w:val="yellow"/>
          <w:shd w:val="clear" w:color="auto" w:fill="FFFFFF"/>
        </w:rPr>
        <w:t xml:space="preserve">and is </w:t>
      </w:r>
      <w:r w:rsidR="00DC5BD3" w:rsidRPr="00B24F1D">
        <w:rPr>
          <w:rFonts w:ascii="Times New Roman" w:hAnsi="Times New Roman" w:cs="Times New Roman"/>
          <w:sz w:val="24"/>
          <w:szCs w:val="24"/>
          <w:highlight w:val="yellow"/>
          <w:shd w:val="clear" w:color="auto" w:fill="FFFFFF"/>
        </w:rPr>
        <w:t>considered</w:t>
      </w:r>
      <w:r w:rsidR="00707A38" w:rsidRPr="00B24F1D">
        <w:rPr>
          <w:rFonts w:ascii="Times New Roman" w:hAnsi="Times New Roman" w:cs="Times New Roman"/>
          <w:sz w:val="24"/>
          <w:szCs w:val="24"/>
          <w:highlight w:val="yellow"/>
          <w:shd w:val="clear" w:color="auto" w:fill="FFFFFF"/>
        </w:rPr>
        <w:t xml:space="preserve"> the most relevant  </w:t>
      </w:r>
      <w:r w:rsidR="00707A38" w:rsidRPr="00B24F1D">
        <w:rPr>
          <w:rFonts w:ascii="Times New Roman" w:hAnsi="Times New Roman" w:cs="Times New Roman"/>
          <w:sz w:val="24"/>
          <w:szCs w:val="24"/>
          <w:highlight w:val="yellow"/>
        </w:rPr>
        <w:t>(Khatib and Nour, 2021</w:t>
      </w:r>
      <w:r>
        <w:rPr>
          <w:rFonts w:ascii="Times New Roman" w:hAnsi="Times New Roman" w:cs="Times New Roman"/>
          <w:sz w:val="24"/>
          <w:szCs w:val="24"/>
          <w:highlight w:val="yellow"/>
        </w:rPr>
        <w:t>;</w:t>
      </w:r>
      <w:r w:rsidRPr="00173DCF">
        <w:rPr>
          <w:rFonts w:ascii="Times New Roman" w:hAnsi="Times New Roman" w:cs="Times New Roman"/>
          <w:sz w:val="24"/>
          <w:szCs w:val="24"/>
          <w:highlight w:val="yellow"/>
        </w:rPr>
        <w:t xml:space="preserve"> </w:t>
      </w:r>
      <w:r w:rsidRPr="00B24F1D">
        <w:rPr>
          <w:rFonts w:ascii="Times New Roman" w:hAnsi="Times New Roman" w:cs="Times New Roman"/>
          <w:sz w:val="24"/>
          <w:szCs w:val="24"/>
          <w:highlight w:val="yellow"/>
        </w:rPr>
        <w:t>Hazaea et al., 2020</w:t>
      </w:r>
      <w:r w:rsidR="00707A38" w:rsidRPr="00B24F1D">
        <w:rPr>
          <w:rFonts w:ascii="Times New Roman" w:hAnsi="Times New Roman" w:cs="Times New Roman"/>
          <w:sz w:val="24"/>
          <w:szCs w:val="24"/>
          <w:highlight w:val="yellow"/>
        </w:rPr>
        <w:t>).</w:t>
      </w:r>
      <w:r w:rsidR="00707A38" w:rsidRPr="00B24F1D">
        <w:rPr>
          <w:rFonts w:ascii="Times New Roman" w:hAnsi="Times New Roman" w:cs="Times New Roman"/>
          <w:sz w:val="24"/>
          <w:szCs w:val="24"/>
        </w:rPr>
        <w:t xml:space="preserve"> </w:t>
      </w:r>
      <w:r>
        <w:rPr>
          <w:rFonts w:ascii="Times New Roman" w:hAnsi="Times New Roman" w:cs="Times New Roman"/>
          <w:sz w:val="24"/>
          <w:szCs w:val="24"/>
        </w:rPr>
        <w:t xml:space="preserve">It is believed </w:t>
      </w:r>
      <w:r w:rsidR="00707A38" w:rsidRPr="00B24F1D">
        <w:rPr>
          <w:rFonts w:ascii="Times New Roman" w:hAnsi="Times New Roman" w:cs="Times New Roman"/>
          <w:sz w:val="24"/>
          <w:szCs w:val="24"/>
        </w:rPr>
        <w:t xml:space="preserve">that unequal knowledge between </w:t>
      </w:r>
      <w:r w:rsidR="00356184" w:rsidRPr="00B24F1D">
        <w:rPr>
          <w:rFonts w:ascii="Times New Roman" w:hAnsi="Times New Roman" w:cs="Times New Roman"/>
          <w:sz w:val="24"/>
          <w:szCs w:val="24"/>
        </w:rPr>
        <w:t>debtors</w:t>
      </w:r>
      <w:r w:rsidR="00707A38" w:rsidRPr="00B24F1D">
        <w:rPr>
          <w:rFonts w:ascii="Times New Roman" w:hAnsi="Times New Roman" w:cs="Times New Roman"/>
          <w:sz w:val="24"/>
          <w:szCs w:val="24"/>
        </w:rPr>
        <w:t xml:space="preserve"> and </w:t>
      </w:r>
      <w:r w:rsidR="00356184" w:rsidRPr="00B24F1D">
        <w:rPr>
          <w:rFonts w:ascii="Times New Roman" w:hAnsi="Times New Roman" w:cs="Times New Roman"/>
          <w:sz w:val="24"/>
          <w:szCs w:val="24"/>
        </w:rPr>
        <w:t>creditors</w:t>
      </w:r>
      <w:r w:rsidR="00707A38" w:rsidRPr="00B24F1D">
        <w:rPr>
          <w:rFonts w:ascii="Times New Roman" w:hAnsi="Times New Roman" w:cs="Times New Roman"/>
          <w:sz w:val="24"/>
          <w:szCs w:val="24"/>
        </w:rPr>
        <w:t xml:space="preserve"> could lead to considerable adverse s</w:t>
      </w:r>
      <w:r w:rsidR="00DC5BD3" w:rsidRPr="00B24F1D">
        <w:rPr>
          <w:rFonts w:ascii="Times New Roman" w:hAnsi="Times New Roman" w:cs="Times New Roman"/>
          <w:sz w:val="24"/>
          <w:szCs w:val="24"/>
        </w:rPr>
        <w:t>election problems in industries, especially those that rely on group lending</w:t>
      </w:r>
      <w:r w:rsidR="00707A38" w:rsidRPr="00B24F1D">
        <w:rPr>
          <w:rFonts w:ascii="Times New Roman" w:hAnsi="Times New Roman" w:cs="Times New Roman"/>
          <w:sz w:val="24"/>
          <w:szCs w:val="24"/>
        </w:rPr>
        <w:t xml:space="preserve"> </w:t>
      </w:r>
      <w:r>
        <w:rPr>
          <w:rFonts w:ascii="Times New Roman" w:hAnsi="Times New Roman" w:cs="Times New Roman"/>
          <w:sz w:val="24"/>
          <w:szCs w:val="24"/>
        </w:rPr>
        <w:t xml:space="preserve">like </w:t>
      </w:r>
      <w:r w:rsidR="00DC5BD3" w:rsidRPr="00B24F1D">
        <w:rPr>
          <w:rFonts w:ascii="Times New Roman" w:hAnsi="Times New Roman" w:cs="Times New Roman"/>
          <w:sz w:val="24"/>
          <w:szCs w:val="24"/>
        </w:rPr>
        <w:t>microfinance</w:t>
      </w:r>
      <w:r w:rsidRPr="00173DCF">
        <w:t xml:space="preserve"> </w:t>
      </w:r>
      <w:r w:rsidRPr="00173DCF">
        <w:rPr>
          <w:rFonts w:ascii="Times New Roman" w:hAnsi="Times New Roman" w:cs="Times New Roman"/>
          <w:sz w:val="24"/>
          <w:szCs w:val="24"/>
        </w:rPr>
        <w:t>(</w:t>
      </w:r>
      <w:r w:rsidR="0014272C" w:rsidRPr="0014272C">
        <w:rPr>
          <w:rFonts w:ascii="Times New Roman" w:hAnsi="Times New Roman" w:cs="Times New Roman"/>
          <w:sz w:val="24"/>
          <w:szCs w:val="24"/>
        </w:rPr>
        <w:t>Petersen</w:t>
      </w:r>
      <w:r w:rsidRPr="00173DCF">
        <w:rPr>
          <w:rFonts w:ascii="Times New Roman" w:hAnsi="Times New Roman" w:cs="Times New Roman"/>
          <w:sz w:val="24"/>
          <w:szCs w:val="24"/>
        </w:rPr>
        <w:t xml:space="preserve"> and Rajan 1994; Berger and Udell 1995)</w:t>
      </w:r>
      <w:r w:rsidR="00203D85" w:rsidRPr="00173DCF">
        <w:rPr>
          <w:rFonts w:ascii="Times New Roman" w:hAnsi="Times New Roman" w:cs="Times New Roman"/>
          <w:sz w:val="24"/>
          <w:szCs w:val="24"/>
        </w:rPr>
        <w:t>.</w:t>
      </w:r>
    </w:p>
    <w:p w:rsidR="00707A38" w:rsidRPr="00B87A09" w:rsidRDefault="00B87A09" w:rsidP="00707A38">
      <w:pPr>
        <w:spacing w:after="200" w:line="480" w:lineRule="auto"/>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highlight w:val="yellow"/>
          <w:shd w:val="clear" w:color="auto" w:fill="FFFFFF"/>
        </w:rPr>
        <w:t xml:space="preserve">Legitimacy theory suggests that the </w:t>
      </w:r>
      <w:r w:rsidR="00D33933">
        <w:rPr>
          <w:rFonts w:ascii="Times New Roman" w:hAnsi="Times New Roman" w:cs="Times New Roman"/>
          <w:sz w:val="24"/>
          <w:szCs w:val="24"/>
          <w:highlight w:val="yellow"/>
          <w:shd w:val="clear" w:color="auto" w:fill="FFFFFF"/>
        </w:rPr>
        <w:t>firms' social contract with the surrounding community requires higher voluntary disclosure norms</w:t>
      </w:r>
      <w:r>
        <w:rPr>
          <w:rFonts w:ascii="Times New Roman" w:hAnsi="Times New Roman" w:cs="Times New Roman"/>
          <w:sz w:val="24"/>
          <w:szCs w:val="24"/>
          <w:highlight w:val="yellow"/>
          <w:shd w:val="clear" w:color="auto" w:fill="FFFFFF"/>
        </w:rPr>
        <w:t xml:space="preserve"> to adhere to the law and community princip</w:t>
      </w:r>
      <w:r w:rsidR="00D33933">
        <w:rPr>
          <w:rFonts w:ascii="Times New Roman" w:hAnsi="Times New Roman" w:cs="Times New Roman"/>
          <w:sz w:val="24"/>
          <w:szCs w:val="24"/>
          <w:highlight w:val="yellow"/>
          <w:shd w:val="clear" w:color="auto" w:fill="FFFFFF"/>
        </w:rPr>
        <w:t>le</w:t>
      </w:r>
      <w:r>
        <w:rPr>
          <w:rFonts w:ascii="Times New Roman" w:hAnsi="Times New Roman" w:cs="Times New Roman"/>
          <w:sz w:val="24"/>
          <w:szCs w:val="24"/>
          <w:highlight w:val="yellow"/>
          <w:shd w:val="clear" w:color="auto" w:fill="FFFFFF"/>
        </w:rPr>
        <w:t>s if the mandatory disclosures are not suffi</w:t>
      </w:r>
      <w:r w:rsidR="00D33933">
        <w:rPr>
          <w:rFonts w:ascii="Times New Roman" w:hAnsi="Times New Roman" w:cs="Times New Roman"/>
          <w:sz w:val="24"/>
          <w:szCs w:val="24"/>
          <w:highlight w:val="yellow"/>
          <w:shd w:val="clear" w:color="auto" w:fill="FFFFFF"/>
        </w:rPr>
        <w:t>cie</w:t>
      </w:r>
      <w:r>
        <w:rPr>
          <w:rFonts w:ascii="Times New Roman" w:hAnsi="Times New Roman" w:cs="Times New Roman"/>
          <w:sz w:val="24"/>
          <w:szCs w:val="24"/>
          <w:highlight w:val="yellow"/>
          <w:shd w:val="clear" w:color="auto" w:fill="FFFFFF"/>
        </w:rPr>
        <w:t>nt</w:t>
      </w:r>
      <w:r w:rsidR="00707A38" w:rsidRPr="00707A38">
        <w:rPr>
          <w:highlight w:val="yellow"/>
        </w:rPr>
        <w:t xml:space="preserve"> </w:t>
      </w:r>
      <w:r w:rsidR="00707A38" w:rsidRPr="00707A38">
        <w:rPr>
          <w:rFonts w:ascii="Times New Roman" w:hAnsi="Times New Roman" w:cs="Times New Roman"/>
          <w:sz w:val="24"/>
          <w:szCs w:val="24"/>
          <w:highlight w:val="yellow"/>
          <w:shd w:val="clear" w:color="auto" w:fill="FFFFFF"/>
        </w:rPr>
        <w:t>(</w:t>
      </w:r>
      <w:r w:rsidR="00455AF6" w:rsidRPr="00707A38">
        <w:rPr>
          <w:rFonts w:ascii="Times New Roman" w:hAnsi="Times New Roman" w:cs="Times New Roman"/>
          <w:sz w:val="24"/>
          <w:szCs w:val="24"/>
          <w:highlight w:val="yellow"/>
          <w:shd w:val="clear" w:color="auto" w:fill="FFFFFF"/>
        </w:rPr>
        <w:t xml:space="preserve">Suarez-Rico et al., 2018; </w:t>
      </w:r>
      <w:r w:rsidR="00BD65BA">
        <w:rPr>
          <w:rFonts w:ascii="Times New Roman" w:hAnsi="Times New Roman" w:cs="Times New Roman"/>
          <w:sz w:val="24"/>
          <w:szCs w:val="24"/>
          <w:highlight w:val="yellow"/>
          <w:shd w:val="clear" w:color="auto" w:fill="FFFFFF"/>
        </w:rPr>
        <w:t>Solikhah, 2016; Wang et</w:t>
      </w:r>
      <w:r w:rsidR="00707A38" w:rsidRPr="00707A38">
        <w:rPr>
          <w:rFonts w:ascii="Times New Roman" w:hAnsi="Times New Roman" w:cs="Times New Roman"/>
          <w:sz w:val="24"/>
          <w:szCs w:val="24"/>
          <w:highlight w:val="yellow"/>
          <w:shd w:val="clear" w:color="auto" w:fill="FFFFFF"/>
        </w:rPr>
        <w:t xml:space="preserve"> al., 2013). </w:t>
      </w:r>
      <w:r w:rsidR="00707A38" w:rsidRPr="00CE3992">
        <w:rPr>
          <w:rFonts w:ascii="Times New Roman" w:hAnsi="Times New Roman" w:cs="Times New Roman"/>
          <w:sz w:val="24"/>
          <w:szCs w:val="24"/>
          <w:highlight w:val="yellow"/>
          <w:shd w:val="clear" w:color="auto" w:fill="FFFFFF"/>
        </w:rPr>
        <w:t>According to Md Zaini (2017</w:t>
      </w:r>
      <w:r w:rsidR="00285F73">
        <w:rPr>
          <w:rFonts w:ascii="Times New Roman" w:hAnsi="Times New Roman" w:cs="Times New Roman"/>
          <w:sz w:val="24"/>
          <w:szCs w:val="24"/>
          <w:highlight w:val="yellow"/>
          <w:shd w:val="clear" w:color="auto" w:fill="FFFFFF"/>
        </w:rPr>
        <w:t>) and</w:t>
      </w:r>
      <w:r w:rsidR="00C2773F" w:rsidRPr="00CE3992">
        <w:rPr>
          <w:rFonts w:ascii="Times New Roman" w:hAnsi="Times New Roman" w:cs="Times New Roman"/>
          <w:sz w:val="24"/>
          <w:szCs w:val="24"/>
          <w:highlight w:val="yellow"/>
          <w:shd w:val="clear" w:color="auto" w:fill="FFFFFF"/>
        </w:rPr>
        <w:t xml:space="preserve"> Faisal et al., </w:t>
      </w:r>
      <w:r w:rsidR="00285F73">
        <w:rPr>
          <w:rFonts w:ascii="Times New Roman" w:hAnsi="Times New Roman" w:cs="Times New Roman"/>
          <w:sz w:val="24"/>
          <w:szCs w:val="24"/>
          <w:highlight w:val="yellow"/>
          <w:shd w:val="clear" w:color="auto" w:fill="FFFFFF"/>
        </w:rPr>
        <w:t>(</w:t>
      </w:r>
      <w:r w:rsidR="00C2773F" w:rsidRPr="00CE3992">
        <w:rPr>
          <w:rFonts w:ascii="Times New Roman" w:hAnsi="Times New Roman" w:cs="Times New Roman"/>
          <w:sz w:val="24"/>
          <w:szCs w:val="24"/>
          <w:highlight w:val="yellow"/>
          <w:shd w:val="clear" w:color="auto" w:fill="FFFFFF"/>
        </w:rPr>
        <w:t>2012</w:t>
      </w:r>
      <w:r w:rsidR="00707A38" w:rsidRPr="00CE3992">
        <w:rPr>
          <w:rFonts w:ascii="Times New Roman" w:hAnsi="Times New Roman" w:cs="Times New Roman"/>
          <w:sz w:val="24"/>
          <w:szCs w:val="24"/>
          <w:highlight w:val="yellow"/>
          <w:shd w:val="clear" w:color="auto" w:fill="FFFFFF"/>
        </w:rPr>
        <w:t>), voluntary disclosures are made to build stakeholder confidence, prestige, and</w:t>
      </w:r>
      <w:r w:rsidR="00C2773F" w:rsidRPr="00CE3992">
        <w:rPr>
          <w:rFonts w:ascii="Times New Roman" w:hAnsi="Times New Roman" w:cs="Times New Roman"/>
          <w:sz w:val="24"/>
          <w:szCs w:val="24"/>
          <w:highlight w:val="yellow"/>
          <w:shd w:val="clear" w:color="auto" w:fill="FFFFFF"/>
        </w:rPr>
        <w:t xml:space="preserve"> validity for the organisation</w:t>
      </w:r>
      <w:r w:rsidR="00707A38" w:rsidRPr="00CE3992">
        <w:rPr>
          <w:rFonts w:ascii="Times New Roman" w:hAnsi="Times New Roman" w:cs="Times New Roman"/>
          <w:sz w:val="24"/>
          <w:szCs w:val="24"/>
          <w:highlight w:val="yellow"/>
          <w:shd w:val="clear" w:color="auto" w:fill="FFFFFF"/>
        </w:rPr>
        <w:t xml:space="preserve">. </w:t>
      </w:r>
      <w:r w:rsidR="00CE3992">
        <w:rPr>
          <w:rFonts w:ascii="Times New Roman" w:hAnsi="Times New Roman" w:cs="Times New Roman"/>
          <w:sz w:val="24"/>
          <w:szCs w:val="24"/>
          <w:highlight w:val="yellow"/>
          <w:shd w:val="clear" w:color="auto" w:fill="FFFFFF"/>
        </w:rPr>
        <w:t>The high brand</w:t>
      </w:r>
      <w:r w:rsidR="00D33933">
        <w:rPr>
          <w:rFonts w:ascii="Times New Roman" w:hAnsi="Times New Roman" w:cs="Times New Roman"/>
          <w:sz w:val="24"/>
          <w:szCs w:val="24"/>
          <w:highlight w:val="yellow"/>
          <w:shd w:val="clear" w:color="auto" w:fill="FFFFFF"/>
        </w:rPr>
        <w:t>-</w:t>
      </w:r>
      <w:r w:rsidR="00CE3992">
        <w:rPr>
          <w:rFonts w:ascii="Times New Roman" w:hAnsi="Times New Roman" w:cs="Times New Roman"/>
          <w:sz w:val="24"/>
          <w:szCs w:val="24"/>
          <w:highlight w:val="yellow"/>
          <w:shd w:val="clear" w:color="auto" w:fill="FFFFFF"/>
        </w:rPr>
        <w:t xml:space="preserve">conscious levels in </w:t>
      </w:r>
      <w:r w:rsidR="00D33933">
        <w:rPr>
          <w:rFonts w:ascii="Times New Roman" w:hAnsi="Times New Roman" w:cs="Times New Roman"/>
          <w:sz w:val="24"/>
          <w:szCs w:val="24"/>
          <w:highlight w:val="yellow"/>
          <w:shd w:val="clear" w:color="auto" w:fill="FFFFFF"/>
        </w:rPr>
        <w:t>developing countries' firms lead to low VD levels</w:t>
      </w:r>
      <w:r w:rsidR="00CE3992">
        <w:rPr>
          <w:rFonts w:ascii="Times New Roman" w:hAnsi="Times New Roman" w:cs="Times New Roman"/>
          <w:sz w:val="24"/>
          <w:szCs w:val="24"/>
          <w:highlight w:val="yellow"/>
          <w:shd w:val="clear" w:color="auto" w:fill="FFFFFF"/>
        </w:rPr>
        <w:t xml:space="preserve">. </w:t>
      </w:r>
      <w:r w:rsidR="00707A38" w:rsidRPr="00707A38">
        <w:rPr>
          <w:rFonts w:ascii="Times New Roman" w:hAnsi="Times New Roman" w:cs="Times New Roman"/>
          <w:sz w:val="24"/>
          <w:szCs w:val="24"/>
          <w:shd w:val="clear" w:color="auto" w:fill="FFFFFF"/>
        </w:rPr>
        <w:t>(</w:t>
      </w:r>
      <w:r w:rsidR="00C2773F" w:rsidRPr="00707A38">
        <w:rPr>
          <w:rFonts w:ascii="Times New Roman" w:hAnsi="Times New Roman" w:cs="Times New Roman"/>
          <w:sz w:val="24"/>
          <w:szCs w:val="24"/>
          <w:shd w:val="clear" w:color="auto" w:fill="FFFFFF"/>
        </w:rPr>
        <w:t xml:space="preserve">Nurhayati et </w:t>
      </w:r>
      <w:r w:rsidR="00C2773F">
        <w:rPr>
          <w:rFonts w:ascii="Times New Roman" w:hAnsi="Times New Roman" w:cs="Times New Roman"/>
          <w:sz w:val="24"/>
          <w:szCs w:val="24"/>
          <w:shd w:val="clear" w:color="auto" w:fill="FFFFFF"/>
        </w:rPr>
        <w:t>al.</w:t>
      </w:r>
      <w:r w:rsidR="0063174C">
        <w:rPr>
          <w:rFonts w:ascii="Times New Roman" w:hAnsi="Times New Roman" w:cs="Times New Roman"/>
          <w:sz w:val="24"/>
          <w:szCs w:val="24"/>
          <w:shd w:val="clear" w:color="auto" w:fill="FFFFFF"/>
        </w:rPr>
        <w:t>,</w:t>
      </w:r>
      <w:r w:rsidR="00C2773F">
        <w:rPr>
          <w:rFonts w:ascii="Times New Roman" w:hAnsi="Times New Roman" w:cs="Times New Roman"/>
          <w:sz w:val="24"/>
          <w:szCs w:val="24"/>
          <w:shd w:val="clear" w:color="auto" w:fill="FFFFFF"/>
        </w:rPr>
        <w:t xml:space="preserve"> 2015; </w:t>
      </w:r>
      <w:r w:rsidR="00707A38" w:rsidRPr="00707A38">
        <w:rPr>
          <w:rFonts w:ascii="Times New Roman" w:hAnsi="Times New Roman" w:cs="Times New Roman"/>
          <w:sz w:val="24"/>
          <w:szCs w:val="24"/>
          <w:shd w:val="clear" w:color="auto" w:fill="FFFFFF"/>
        </w:rPr>
        <w:t>Mondal and Ghosh</w:t>
      </w:r>
      <w:r w:rsidR="0063174C">
        <w:rPr>
          <w:rFonts w:ascii="Times New Roman" w:hAnsi="Times New Roman" w:cs="Times New Roman"/>
          <w:sz w:val="24"/>
          <w:szCs w:val="24"/>
          <w:shd w:val="clear" w:color="auto" w:fill="FFFFFF"/>
        </w:rPr>
        <w:t>,</w:t>
      </w:r>
      <w:r w:rsidR="00707A38" w:rsidRPr="00707A38">
        <w:rPr>
          <w:rFonts w:ascii="Times New Roman" w:hAnsi="Times New Roman" w:cs="Times New Roman"/>
          <w:sz w:val="24"/>
          <w:szCs w:val="24"/>
          <w:shd w:val="clear" w:color="auto" w:fill="FFFFFF"/>
        </w:rPr>
        <w:t xml:space="preserve"> 2014</w:t>
      </w:r>
      <w:r w:rsidR="00164738">
        <w:rPr>
          <w:rFonts w:ascii="Times New Roman" w:hAnsi="Times New Roman" w:cs="Times New Roman"/>
          <w:sz w:val="24"/>
          <w:szCs w:val="24"/>
          <w:shd w:val="clear" w:color="auto" w:fill="FFFFFF"/>
        </w:rPr>
        <w:t>;</w:t>
      </w:r>
      <w:r w:rsidR="00164738" w:rsidRPr="00164738">
        <w:rPr>
          <w:rFonts w:ascii="Times New Roman" w:hAnsi="Times New Roman" w:cs="Times New Roman"/>
          <w:sz w:val="24"/>
          <w:szCs w:val="24"/>
          <w:shd w:val="clear" w:color="auto" w:fill="FFFFFF"/>
        </w:rPr>
        <w:t xml:space="preserve"> </w:t>
      </w:r>
      <w:r w:rsidR="003F47FC">
        <w:rPr>
          <w:rFonts w:ascii="Times New Roman" w:hAnsi="Times New Roman" w:cs="Times New Roman"/>
          <w:sz w:val="24"/>
          <w:szCs w:val="24"/>
          <w:shd w:val="clear" w:color="auto" w:fill="FFFFFF"/>
        </w:rPr>
        <w:t>Zaini, 2018</w:t>
      </w:r>
      <w:r w:rsidR="00707A38" w:rsidRPr="00707A38">
        <w:rPr>
          <w:rFonts w:ascii="Times New Roman" w:hAnsi="Times New Roman" w:cs="Times New Roman"/>
          <w:sz w:val="24"/>
          <w:szCs w:val="24"/>
          <w:shd w:val="clear" w:color="auto" w:fill="FFFFFF"/>
        </w:rPr>
        <w:t>).</w:t>
      </w:r>
    </w:p>
    <w:p w:rsidR="00707A38" w:rsidRPr="00CD06AE" w:rsidRDefault="00707A38" w:rsidP="00707A38">
      <w:pPr>
        <w:spacing w:after="200" w:line="480" w:lineRule="auto"/>
        <w:jc w:val="both"/>
        <w:rPr>
          <w:rFonts w:ascii="Times New Roman" w:hAnsi="Times New Roman" w:cs="Times New Roman"/>
          <w:b/>
          <w:sz w:val="24"/>
          <w:szCs w:val="24"/>
          <w:highlight w:val="yellow"/>
          <w:shd w:val="clear" w:color="auto" w:fill="FFFFFF"/>
        </w:rPr>
      </w:pPr>
      <w:r w:rsidRPr="00CD06AE">
        <w:rPr>
          <w:rFonts w:ascii="Times New Roman" w:hAnsi="Times New Roman" w:cs="Times New Roman"/>
          <w:b/>
          <w:sz w:val="24"/>
          <w:szCs w:val="24"/>
          <w:highlight w:val="yellow"/>
          <w:shd w:val="clear" w:color="auto" w:fill="FFFFFF"/>
        </w:rPr>
        <w:t>Determinants of voluntary disclosure</w:t>
      </w:r>
    </w:p>
    <w:p w:rsidR="00707A38" w:rsidRPr="00707A38" w:rsidRDefault="00707A38" w:rsidP="00707A38">
      <w:pPr>
        <w:spacing w:after="200" w:line="480" w:lineRule="auto"/>
        <w:jc w:val="both"/>
        <w:rPr>
          <w:rFonts w:ascii="Times New Roman" w:hAnsi="Times New Roman" w:cs="Times New Roman"/>
          <w:sz w:val="24"/>
          <w:szCs w:val="24"/>
          <w:highlight w:val="yellow"/>
          <w:shd w:val="clear" w:color="auto" w:fill="FFFFFF"/>
        </w:rPr>
      </w:pPr>
      <w:r w:rsidRPr="00707A38">
        <w:rPr>
          <w:rFonts w:ascii="Times New Roman" w:hAnsi="Times New Roman" w:cs="Times New Roman"/>
          <w:sz w:val="24"/>
          <w:szCs w:val="24"/>
          <w:highlight w:val="yellow"/>
          <w:shd w:val="clear" w:color="auto" w:fill="FFFFFF"/>
        </w:rPr>
        <w:t xml:space="preserve">Various factors determine voluntary disclosures. The significant factors in the previous </w:t>
      </w:r>
      <w:r w:rsidR="008672B9" w:rsidRPr="00707A38">
        <w:rPr>
          <w:rFonts w:ascii="Times New Roman" w:hAnsi="Times New Roman" w:cs="Times New Roman"/>
          <w:sz w:val="24"/>
          <w:szCs w:val="24"/>
          <w:highlight w:val="yellow"/>
          <w:shd w:val="clear" w:color="auto" w:fill="FFFFFF"/>
        </w:rPr>
        <w:t>writings</w:t>
      </w:r>
      <w:r w:rsidRPr="00707A38">
        <w:rPr>
          <w:rFonts w:ascii="Times New Roman" w:hAnsi="Times New Roman" w:cs="Times New Roman"/>
          <w:sz w:val="24"/>
          <w:szCs w:val="24"/>
          <w:highlight w:val="yellow"/>
          <w:shd w:val="clear" w:color="auto" w:fill="FFFFFF"/>
        </w:rPr>
        <w:t xml:space="preserve"> are factors</w:t>
      </w:r>
      <w:r w:rsidR="008672B9">
        <w:rPr>
          <w:rFonts w:ascii="Times New Roman" w:hAnsi="Times New Roman" w:cs="Times New Roman"/>
          <w:sz w:val="24"/>
          <w:szCs w:val="24"/>
          <w:highlight w:val="yellow"/>
          <w:shd w:val="clear" w:color="auto" w:fill="FFFFFF"/>
        </w:rPr>
        <w:t xml:space="preserve"> like</w:t>
      </w:r>
      <w:r w:rsidRPr="00707A38">
        <w:rPr>
          <w:rFonts w:ascii="Times New Roman" w:hAnsi="Times New Roman" w:cs="Times New Roman"/>
          <w:sz w:val="24"/>
          <w:szCs w:val="24"/>
          <w:highlight w:val="yellow"/>
          <w:shd w:val="clear" w:color="auto" w:fill="FFFFFF"/>
        </w:rPr>
        <w:t xml:space="preserve"> size, liquidity, profitability, and </w:t>
      </w:r>
      <w:r w:rsidRPr="00940C50">
        <w:rPr>
          <w:rFonts w:ascii="Times New Roman" w:hAnsi="Times New Roman" w:cs="Times New Roman"/>
          <w:sz w:val="24"/>
          <w:szCs w:val="24"/>
          <w:highlight w:val="yellow"/>
          <w:shd w:val="clear" w:color="auto" w:fill="FFFFFF"/>
        </w:rPr>
        <w:t>leverage</w:t>
      </w:r>
      <w:r w:rsidR="00B24F1D" w:rsidRPr="00940C50">
        <w:rPr>
          <w:rFonts w:ascii="Times New Roman" w:hAnsi="Times New Roman" w:cs="Times New Roman"/>
          <w:sz w:val="24"/>
          <w:szCs w:val="24"/>
          <w:highlight w:val="yellow"/>
          <w:shd w:val="clear" w:color="auto" w:fill="FFFFFF"/>
        </w:rPr>
        <w:t xml:space="preserve"> </w:t>
      </w:r>
      <w:r w:rsidR="00B24F1D" w:rsidRPr="00940C50">
        <w:rPr>
          <w:rFonts w:ascii="Times New Roman" w:hAnsi="Times New Roman" w:cs="Times New Roman"/>
          <w:sz w:val="24"/>
          <w:szCs w:val="24"/>
          <w:highlight w:val="yellow"/>
          <w:lang w:val="en-GB"/>
        </w:rPr>
        <w:t>(Abeywardhan and Panditharathana 2016)</w:t>
      </w:r>
      <w:r w:rsidR="00940C50" w:rsidRPr="00940C50">
        <w:rPr>
          <w:rFonts w:ascii="Times New Roman" w:hAnsi="Times New Roman" w:cs="Times New Roman"/>
          <w:sz w:val="24"/>
          <w:szCs w:val="24"/>
          <w:highlight w:val="yellow"/>
          <w:shd w:val="clear" w:color="auto" w:fill="FFFFFF"/>
        </w:rPr>
        <w:t xml:space="preserve">, </w:t>
      </w:r>
      <w:r w:rsidRPr="00940C50">
        <w:rPr>
          <w:rFonts w:ascii="Times New Roman" w:hAnsi="Times New Roman" w:cs="Times New Roman"/>
          <w:sz w:val="24"/>
          <w:szCs w:val="24"/>
          <w:highlight w:val="yellow"/>
          <w:shd w:val="clear" w:color="auto" w:fill="FFFFFF"/>
        </w:rPr>
        <w:t xml:space="preserve"> followed by the </w:t>
      </w:r>
      <w:r w:rsidR="006D1867" w:rsidRPr="00940C50">
        <w:rPr>
          <w:rFonts w:ascii="Times New Roman" w:hAnsi="Times New Roman" w:cs="Times New Roman"/>
          <w:sz w:val="24"/>
          <w:szCs w:val="24"/>
          <w:highlight w:val="yellow"/>
          <w:shd w:val="clear" w:color="auto" w:fill="FFFFFF"/>
        </w:rPr>
        <w:t>firm's ownership structure and cor</w:t>
      </w:r>
      <w:r w:rsidR="006D1867">
        <w:rPr>
          <w:rFonts w:ascii="Times New Roman" w:hAnsi="Times New Roman" w:cs="Times New Roman"/>
          <w:sz w:val="24"/>
          <w:szCs w:val="24"/>
          <w:highlight w:val="yellow"/>
          <w:shd w:val="clear" w:color="auto" w:fill="FFFFFF"/>
        </w:rPr>
        <w:t>porate governance</w:t>
      </w:r>
      <w:r w:rsidRPr="00707A38">
        <w:rPr>
          <w:rFonts w:ascii="Times New Roman" w:hAnsi="Times New Roman" w:cs="Times New Roman"/>
          <w:sz w:val="24"/>
          <w:szCs w:val="24"/>
          <w:highlight w:val="yellow"/>
          <w:shd w:val="clear" w:color="auto" w:fill="FFFFFF"/>
        </w:rPr>
        <w:t xml:space="preserve"> (</w:t>
      </w:r>
      <w:r w:rsidR="002501F6">
        <w:rPr>
          <w:rFonts w:ascii="Times New Roman" w:hAnsi="Times New Roman" w:cs="Times New Roman"/>
          <w:sz w:val="24"/>
          <w:szCs w:val="24"/>
          <w:highlight w:val="yellow"/>
          <w:shd w:val="clear" w:color="auto" w:fill="FFFFFF"/>
        </w:rPr>
        <w:t xml:space="preserve">Cahu and Gray, 2002; </w:t>
      </w:r>
      <w:r w:rsidRPr="00707A38">
        <w:rPr>
          <w:rFonts w:ascii="Times New Roman" w:hAnsi="Times New Roman" w:cs="Times New Roman"/>
          <w:sz w:val="24"/>
          <w:szCs w:val="24"/>
          <w:highlight w:val="yellow"/>
          <w:shd w:val="clear" w:color="auto" w:fill="FFFFFF"/>
        </w:rPr>
        <w:t xml:space="preserve">Zamil et al., 2021). Other factors are </w:t>
      </w:r>
      <w:r w:rsidR="008672B9">
        <w:rPr>
          <w:rFonts w:ascii="Times New Roman" w:hAnsi="Times New Roman" w:cs="Times New Roman"/>
          <w:sz w:val="24"/>
          <w:szCs w:val="24"/>
          <w:highlight w:val="yellow"/>
          <w:shd w:val="clear" w:color="auto" w:fill="FFFFFF"/>
        </w:rPr>
        <w:t>policy or strategy of disclosure norm</w:t>
      </w:r>
      <w:r w:rsidRPr="00707A38">
        <w:rPr>
          <w:rFonts w:ascii="Times New Roman" w:hAnsi="Times New Roman" w:cs="Times New Roman"/>
          <w:sz w:val="24"/>
          <w:szCs w:val="24"/>
          <w:highlight w:val="yellow"/>
          <w:shd w:val="clear" w:color="auto" w:fill="FFFFFF"/>
        </w:rPr>
        <w:t xml:space="preserve">, </w:t>
      </w:r>
      <w:r w:rsidR="00066A83">
        <w:rPr>
          <w:rFonts w:ascii="Times New Roman" w:hAnsi="Times New Roman" w:cs="Times New Roman"/>
          <w:sz w:val="24"/>
          <w:szCs w:val="24"/>
          <w:highlight w:val="yellow"/>
          <w:shd w:val="clear" w:color="auto" w:fill="FFFFFF"/>
        </w:rPr>
        <w:t xml:space="preserve">factors related to </w:t>
      </w:r>
      <w:r w:rsidR="00D33933">
        <w:rPr>
          <w:rFonts w:ascii="Times New Roman" w:hAnsi="Times New Roman" w:cs="Times New Roman"/>
          <w:sz w:val="24"/>
          <w:szCs w:val="24"/>
          <w:highlight w:val="yellow"/>
          <w:shd w:val="clear" w:color="auto" w:fill="FFFFFF"/>
        </w:rPr>
        <w:t xml:space="preserve">the </w:t>
      </w:r>
      <w:r w:rsidR="00066A83">
        <w:rPr>
          <w:rFonts w:ascii="Times New Roman" w:hAnsi="Times New Roman" w:cs="Times New Roman"/>
          <w:sz w:val="24"/>
          <w:szCs w:val="24"/>
          <w:highlight w:val="yellow"/>
          <w:shd w:val="clear" w:color="auto" w:fill="FFFFFF"/>
        </w:rPr>
        <w:t>country, quality of the audit</w:t>
      </w:r>
      <w:r w:rsidR="00FD0DC7">
        <w:rPr>
          <w:rFonts w:ascii="Times New Roman" w:hAnsi="Times New Roman" w:cs="Times New Roman"/>
          <w:sz w:val="24"/>
          <w:szCs w:val="24"/>
          <w:highlight w:val="yellow"/>
          <w:shd w:val="clear" w:color="auto" w:fill="FFFFFF"/>
        </w:rPr>
        <w:t>,</w:t>
      </w:r>
      <w:r w:rsidR="00066A83">
        <w:rPr>
          <w:rFonts w:ascii="Times New Roman" w:hAnsi="Times New Roman" w:cs="Times New Roman"/>
          <w:sz w:val="24"/>
          <w:szCs w:val="24"/>
          <w:highlight w:val="yellow"/>
          <w:shd w:val="clear" w:color="auto" w:fill="FFFFFF"/>
        </w:rPr>
        <w:t xml:space="preserve"> and</w:t>
      </w:r>
      <w:r w:rsidR="00D33933">
        <w:rPr>
          <w:rFonts w:ascii="Times New Roman" w:hAnsi="Times New Roman" w:cs="Times New Roman"/>
          <w:sz w:val="24"/>
          <w:szCs w:val="24"/>
          <w:highlight w:val="yellow"/>
          <w:shd w:val="clear" w:color="auto" w:fill="FFFFFF"/>
        </w:rPr>
        <w:t xml:space="preserve"> decisions of topmost</w:t>
      </w:r>
      <w:r w:rsidR="00066A83">
        <w:rPr>
          <w:rFonts w:ascii="Times New Roman" w:hAnsi="Times New Roman" w:cs="Times New Roman"/>
          <w:sz w:val="24"/>
          <w:szCs w:val="24"/>
          <w:highlight w:val="yellow"/>
          <w:shd w:val="clear" w:color="auto" w:fill="FFFFFF"/>
        </w:rPr>
        <w:t xml:space="preserve"> management. </w:t>
      </w:r>
    </w:p>
    <w:p w:rsidR="00707A38" w:rsidRPr="00707A38" w:rsidRDefault="00940C50" w:rsidP="00CA7BEB">
      <w:pPr>
        <w:spacing w:line="480" w:lineRule="auto"/>
        <w:jc w:val="both"/>
        <w:rPr>
          <w:rFonts w:ascii="Times New Roman" w:hAnsi="Times New Roman" w:cs="Times New Roman"/>
          <w:sz w:val="24"/>
          <w:szCs w:val="24"/>
          <w:shd w:val="clear" w:color="auto" w:fill="FFFFFF"/>
        </w:rPr>
      </w:pPr>
      <w:r w:rsidRPr="00FC1E7C">
        <w:rPr>
          <w:rFonts w:ascii="Times New Roman" w:hAnsi="Times New Roman" w:cs="Times New Roman"/>
          <w:sz w:val="24"/>
          <w:szCs w:val="24"/>
          <w:highlight w:val="yellow"/>
          <w:shd w:val="clear" w:color="auto" w:fill="FFFFFF"/>
        </w:rPr>
        <w:t>V</w:t>
      </w:r>
      <w:r w:rsidR="00707A38" w:rsidRPr="00FC1E7C">
        <w:rPr>
          <w:rFonts w:ascii="Times New Roman" w:hAnsi="Times New Roman" w:cs="Times New Roman"/>
          <w:sz w:val="24"/>
          <w:szCs w:val="24"/>
          <w:highlight w:val="yellow"/>
          <w:shd w:val="clear" w:color="auto" w:fill="FFFFFF"/>
        </w:rPr>
        <w:t xml:space="preserve">oluntary </w:t>
      </w:r>
      <w:r w:rsidRPr="00FC1E7C">
        <w:rPr>
          <w:rFonts w:ascii="Times New Roman" w:hAnsi="Times New Roman" w:cs="Times New Roman"/>
          <w:sz w:val="24"/>
          <w:szCs w:val="24"/>
          <w:highlight w:val="yellow"/>
          <w:shd w:val="clear" w:color="auto" w:fill="FFFFFF"/>
        </w:rPr>
        <w:t xml:space="preserve">disclosures </w:t>
      </w:r>
      <w:r w:rsidR="00707A38" w:rsidRPr="00FC1E7C">
        <w:rPr>
          <w:rFonts w:ascii="Times New Roman" w:hAnsi="Times New Roman" w:cs="Times New Roman"/>
          <w:sz w:val="24"/>
          <w:szCs w:val="24"/>
          <w:highlight w:val="yellow"/>
          <w:shd w:val="clear" w:color="auto" w:fill="FFFFFF"/>
        </w:rPr>
        <w:t xml:space="preserve">studies are majorly done on the listed firms </w:t>
      </w:r>
      <w:r w:rsidR="00707A38" w:rsidRPr="00FC1E7C">
        <w:rPr>
          <w:rFonts w:ascii="Times New Roman" w:hAnsi="Times New Roman" w:cs="Times New Roman"/>
          <w:sz w:val="24"/>
          <w:szCs w:val="24"/>
          <w:highlight w:val="yellow"/>
        </w:rPr>
        <w:t>(</w:t>
      </w:r>
      <w:r w:rsidR="00E93AF4" w:rsidRPr="00FC1E7C">
        <w:rPr>
          <w:rFonts w:ascii="Times New Roman" w:hAnsi="Times New Roman" w:cs="Times New Roman"/>
          <w:sz w:val="24"/>
          <w:szCs w:val="24"/>
          <w:highlight w:val="yellow"/>
        </w:rPr>
        <w:t>Tran and Beddewela, 2020</w:t>
      </w:r>
      <w:r w:rsidR="00E93AF4">
        <w:rPr>
          <w:rFonts w:ascii="Times New Roman" w:hAnsi="Times New Roman" w:cs="Times New Roman"/>
          <w:sz w:val="24"/>
          <w:szCs w:val="24"/>
          <w:highlight w:val="yellow"/>
        </w:rPr>
        <w:t xml:space="preserve">; </w:t>
      </w:r>
      <w:r w:rsidR="006A6B7A">
        <w:rPr>
          <w:rFonts w:ascii="Times New Roman" w:hAnsi="Times New Roman" w:cs="Times New Roman"/>
          <w:sz w:val="24"/>
          <w:szCs w:val="24"/>
          <w:highlight w:val="yellow"/>
        </w:rPr>
        <w:t>Situ et al., 2020</w:t>
      </w:r>
      <w:r w:rsidR="00707A38" w:rsidRPr="00707A38">
        <w:rPr>
          <w:highlight w:val="yellow"/>
        </w:rPr>
        <w:t>)</w:t>
      </w:r>
      <w:r w:rsidR="00FC1E7C">
        <w:rPr>
          <w:rFonts w:ascii="Times New Roman" w:hAnsi="Times New Roman" w:cs="Times New Roman"/>
          <w:sz w:val="24"/>
          <w:szCs w:val="24"/>
          <w:highlight w:val="yellow"/>
          <w:shd w:val="clear" w:color="auto" w:fill="FFFFFF"/>
        </w:rPr>
        <w:t xml:space="preserve">, like </w:t>
      </w:r>
      <w:r w:rsidR="00707A38" w:rsidRPr="00707A38">
        <w:rPr>
          <w:rFonts w:ascii="Times New Roman" w:hAnsi="Times New Roman" w:cs="Times New Roman"/>
          <w:sz w:val="24"/>
          <w:szCs w:val="24"/>
          <w:highlight w:val="yellow"/>
          <w:shd w:val="clear" w:color="auto" w:fill="FFFFFF"/>
        </w:rPr>
        <w:t>the banking sector</w:t>
      </w:r>
      <w:r w:rsidR="00FC1E7C">
        <w:rPr>
          <w:rFonts w:ascii="Times New Roman" w:hAnsi="Times New Roman" w:cs="Times New Roman"/>
          <w:sz w:val="24"/>
          <w:szCs w:val="24"/>
          <w:highlight w:val="yellow"/>
          <w:shd w:val="clear" w:color="auto" w:fill="FFFFFF"/>
        </w:rPr>
        <w:t>,</w:t>
      </w:r>
      <w:r w:rsidR="00707A38" w:rsidRPr="00707A38">
        <w:rPr>
          <w:rFonts w:ascii="Times New Roman" w:hAnsi="Times New Roman" w:cs="Times New Roman"/>
          <w:sz w:val="24"/>
          <w:szCs w:val="24"/>
          <w:highlight w:val="yellow"/>
          <w:shd w:val="clear" w:color="auto" w:fill="FFFFFF"/>
        </w:rPr>
        <w:t xml:space="preserve"> the airline, manufacturing, and textile or SMEs. Researchers suggest that voluntary disclosure studies should be d</w:t>
      </w:r>
      <w:r w:rsidR="00FC1E7C">
        <w:rPr>
          <w:rFonts w:ascii="Times New Roman" w:hAnsi="Times New Roman" w:cs="Times New Roman"/>
          <w:sz w:val="24"/>
          <w:szCs w:val="24"/>
          <w:highlight w:val="yellow"/>
          <w:shd w:val="clear" w:color="auto" w:fill="FFFFFF"/>
        </w:rPr>
        <w:t xml:space="preserve">one for financial institutions and </w:t>
      </w:r>
      <w:r w:rsidR="00707A38" w:rsidRPr="00707A38">
        <w:rPr>
          <w:rFonts w:ascii="Times New Roman" w:hAnsi="Times New Roman" w:cs="Times New Roman"/>
          <w:sz w:val="24"/>
          <w:szCs w:val="24"/>
          <w:highlight w:val="yellow"/>
          <w:shd w:val="clear" w:color="auto" w:fill="FFFFFF"/>
        </w:rPr>
        <w:t>standalone sectors (Alotaibi and Hussainey, 2016; Fahad and Nidheesh, 2020; Nyahas et al., 2017).</w:t>
      </w:r>
      <w:r w:rsidR="00707A38" w:rsidRPr="00707A38">
        <w:rPr>
          <w:rFonts w:ascii="Times New Roman" w:hAnsi="Times New Roman" w:cs="Times New Roman"/>
          <w:sz w:val="24"/>
          <w:szCs w:val="24"/>
          <w:shd w:val="clear" w:color="auto" w:fill="FFFFFF"/>
        </w:rPr>
        <w:t xml:space="preserve"> </w:t>
      </w:r>
      <w:r w:rsidR="00CA7BEB" w:rsidRPr="00CA7BEB">
        <w:rPr>
          <w:rFonts w:ascii="Times New Roman" w:hAnsi="Times New Roman" w:cs="Times New Roman"/>
          <w:sz w:val="24"/>
          <w:szCs w:val="24"/>
          <w:lang w:val="en-GB"/>
        </w:rPr>
        <w:t>The amount of voluntary disclosure reali</w:t>
      </w:r>
      <w:r w:rsidR="00BB15B3">
        <w:rPr>
          <w:rFonts w:ascii="Times New Roman" w:hAnsi="Times New Roman" w:cs="Times New Roman"/>
          <w:sz w:val="24"/>
          <w:szCs w:val="24"/>
          <w:lang w:val="en-GB"/>
        </w:rPr>
        <w:t>z</w:t>
      </w:r>
      <w:r w:rsidR="00CA7BEB" w:rsidRPr="00CA7BEB">
        <w:rPr>
          <w:rFonts w:ascii="Times New Roman" w:hAnsi="Times New Roman" w:cs="Times New Roman"/>
          <w:sz w:val="24"/>
          <w:szCs w:val="24"/>
          <w:lang w:val="en-GB"/>
        </w:rPr>
        <w:t xml:space="preserve">es the firm's trustworthiness, which is disclosed in multiple types and can be evaluated using an index. Internal and external firm data; financial and non-financial relevant data; and </w:t>
      </w:r>
      <w:r w:rsidR="00CA7BEB">
        <w:rPr>
          <w:rFonts w:ascii="Times New Roman" w:hAnsi="Times New Roman" w:cs="Times New Roman"/>
          <w:sz w:val="24"/>
          <w:szCs w:val="24"/>
          <w:lang w:val="en-GB"/>
        </w:rPr>
        <w:t>Strategic, social,</w:t>
      </w:r>
      <w:r w:rsidR="00CA7BEB" w:rsidRPr="00CA7BEB">
        <w:rPr>
          <w:rFonts w:ascii="Times New Roman" w:hAnsi="Times New Roman" w:cs="Times New Roman"/>
          <w:sz w:val="24"/>
          <w:szCs w:val="24"/>
          <w:lang w:val="en-GB"/>
        </w:rPr>
        <w:t xml:space="preserve"> operational, and futuristic information are examples of </w:t>
      </w:r>
      <w:r w:rsidR="00CA7BEB">
        <w:rPr>
          <w:rFonts w:ascii="Times New Roman" w:hAnsi="Times New Roman" w:cs="Times New Roman"/>
          <w:sz w:val="24"/>
          <w:szCs w:val="24"/>
          <w:lang w:val="en-GB"/>
        </w:rPr>
        <w:t>these types</w:t>
      </w:r>
      <w:r w:rsidR="00CA7BEB" w:rsidRPr="00CA7BEB">
        <w:rPr>
          <w:rFonts w:ascii="Times New Roman" w:hAnsi="Times New Roman" w:cs="Times New Roman"/>
          <w:sz w:val="24"/>
          <w:szCs w:val="24"/>
          <w:lang w:val="en-GB"/>
        </w:rPr>
        <w:t xml:space="preserve"> (Abeywardhan and Panditharathana 2016; Singhavi and Desai, 1971; Charumathu and Ramesh, 2015).</w:t>
      </w:r>
    </w:p>
    <w:p w:rsidR="007D4665" w:rsidRDefault="0004732A" w:rsidP="00707A38">
      <w:pPr>
        <w:spacing w:after="200" w:line="480" w:lineRule="auto"/>
        <w:jc w:val="both"/>
        <w:rPr>
          <w:rFonts w:ascii="Times New Roman" w:hAnsi="Times New Roman" w:cs="Times New Roman"/>
          <w:sz w:val="24"/>
          <w:szCs w:val="24"/>
          <w:lang w:val="en-GB"/>
        </w:rPr>
      </w:pPr>
      <w:r w:rsidRPr="00FC1E7C">
        <w:rPr>
          <w:rFonts w:ascii="Times New Roman" w:hAnsi="Times New Roman" w:cs="Times New Roman"/>
          <w:sz w:val="24"/>
          <w:szCs w:val="24"/>
          <w:lang w:val="en-US"/>
        </w:rPr>
        <w:t xml:space="preserve">Barako et al. </w:t>
      </w:r>
      <w:r w:rsidR="00FC1E7C">
        <w:rPr>
          <w:rFonts w:ascii="Times New Roman" w:hAnsi="Times New Roman" w:cs="Times New Roman"/>
          <w:sz w:val="24"/>
          <w:szCs w:val="24"/>
          <w:lang w:val="en-US"/>
        </w:rPr>
        <w:t>(</w:t>
      </w:r>
      <w:r w:rsidRPr="00FC1E7C">
        <w:rPr>
          <w:rFonts w:ascii="Times New Roman" w:hAnsi="Times New Roman" w:cs="Times New Roman"/>
          <w:sz w:val="24"/>
          <w:szCs w:val="24"/>
          <w:lang w:val="en-US"/>
        </w:rPr>
        <w:t>2006</w:t>
      </w:r>
      <w:r w:rsidR="00FC1E7C">
        <w:rPr>
          <w:rFonts w:ascii="Times New Roman" w:hAnsi="Times New Roman" w:cs="Times New Roman"/>
          <w:sz w:val="24"/>
          <w:szCs w:val="24"/>
          <w:lang w:val="en-US"/>
        </w:rPr>
        <w:t>)</w:t>
      </w:r>
      <w:r w:rsidR="00CB42D9">
        <w:rPr>
          <w:rFonts w:ascii="Times New Roman" w:hAnsi="Times New Roman" w:cs="Times New Roman"/>
          <w:sz w:val="24"/>
          <w:szCs w:val="24"/>
          <w:lang w:val="en-US"/>
        </w:rPr>
        <w:t xml:space="preserve"> and</w:t>
      </w:r>
      <w:r w:rsidRPr="00FC1E7C">
        <w:rPr>
          <w:rFonts w:ascii="Times New Roman" w:hAnsi="Times New Roman" w:cs="Times New Roman"/>
          <w:color w:val="222222"/>
          <w:sz w:val="24"/>
          <w:szCs w:val="24"/>
          <w:shd w:val="clear" w:color="auto" w:fill="FFFFFF"/>
        </w:rPr>
        <w:t xml:space="preserve"> Alyousef and Alsughayer </w:t>
      </w:r>
      <w:r w:rsidR="00FC1E7C">
        <w:rPr>
          <w:rFonts w:ascii="Times New Roman" w:hAnsi="Times New Roman" w:cs="Times New Roman"/>
          <w:color w:val="222222"/>
          <w:sz w:val="24"/>
          <w:szCs w:val="24"/>
          <w:shd w:val="clear" w:color="auto" w:fill="FFFFFF"/>
        </w:rPr>
        <w:t>(</w:t>
      </w:r>
      <w:r w:rsidRPr="00FC1E7C">
        <w:rPr>
          <w:rFonts w:ascii="Times New Roman" w:hAnsi="Times New Roman" w:cs="Times New Roman"/>
          <w:color w:val="222222"/>
          <w:sz w:val="24"/>
          <w:szCs w:val="24"/>
          <w:shd w:val="clear" w:color="auto" w:fill="FFFFFF"/>
        </w:rPr>
        <w:t>2021</w:t>
      </w:r>
      <w:r w:rsidRPr="00FC1E7C">
        <w:rPr>
          <w:rFonts w:ascii="Times New Roman" w:hAnsi="Times New Roman" w:cs="Times New Roman"/>
          <w:sz w:val="24"/>
          <w:szCs w:val="24"/>
          <w:lang w:val="en-US"/>
        </w:rPr>
        <w:t xml:space="preserve">) </w:t>
      </w:r>
      <w:r w:rsidR="00FC1E7C">
        <w:rPr>
          <w:rFonts w:ascii="Times New Roman" w:hAnsi="Times New Roman" w:cs="Times New Roman"/>
          <w:sz w:val="24"/>
          <w:szCs w:val="24"/>
          <w:lang w:val="en-US"/>
        </w:rPr>
        <w:t xml:space="preserve">suggest that </w:t>
      </w:r>
      <w:r w:rsidRPr="00FC1E7C">
        <w:rPr>
          <w:rFonts w:ascii="Times New Roman" w:hAnsi="Times New Roman" w:cs="Times New Roman"/>
          <w:sz w:val="24"/>
          <w:szCs w:val="24"/>
          <w:lang w:val="en-US"/>
        </w:rPr>
        <w:t>t</w:t>
      </w:r>
      <w:r w:rsidR="00707A38" w:rsidRPr="00FC1E7C">
        <w:rPr>
          <w:rFonts w:ascii="Times New Roman" w:hAnsi="Times New Roman" w:cs="Times New Roman"/>
          <w:sz w:val="24"/>
          <w:szCs w:val="24"/>
          <w:lang w:val="en-US"/>
        </w:rPr>
        <w:t>he level of voluntary disclosure has been scientifically examined with corporate governance indicators and found a</w:t>
      </w:r>
      <w:r w:rsidR="00707A38" w:rsidRPr="00707A38">
        <w:rPr>
          <w:rFonts w:ascii="Times New Roman" w:hAnsi="Times New Roman" w:cs="Times New Roman"/>
          <w:sz w:val="24"/>
          <w:szCs w:val="24"/>
          <w:lang w:val="en-US"/>
        </w:rPr>
        <w:t xml:space="preserve"> positive relationship. Increased institutional ownership leads to more voluntary disclosures. </w:t>
      </w:r>
      <w:r w:rsidR="005A1F07" w:rsidRPr="005A1F07">
        <w:rPr>
          <w:rFonts w:ascii="Times New Roman" w:hAnsi="Times New Roman" w:cs="Times New Roman"/>
          <w:sz w:val="24"/>
          <w:szCs w:val="24"/>
          <w:lang w:val="en-US"/>
        </w:rPr>
        <w:t xml:space="preserve">Barako </w:t>
      </w:r>
      <w:r w:rsidR="00F36836">
        <w:rPr>
          <w:rFonts w:ascii="Times New Roman" w:hAnsi="Times New Roman" w:cs="Times New Roman"/>
          <w:sz w:val="24"/>
          <w:szCs w:val="24"/>
          <w:lang w:val="en-US"/>
        </w:rPr>
        <w:t>et al.</w:t>
      </w:r>
      <w:r w:rsidR="005A1F07" w:rsidRPr="005A1F07">
        <w:rPr>
          <w:rFonts w:ascii="Times New Roman" w:hAnsi="Times New Roman" w:cs="Times New Roman"/>
          <w:sz w:val="24"/>
          <w:szCs w:val="24"/>
          <w:lang w:val="en-US"/>
        </w:rPr>
        <w:t xml:space="preserve"> </w:t>
      </w:r>
      <w:r w:rsidR="000E0874">
        <w:rPr>
          <w:rFonts w:ascii="Times New Roman" w:hAnsi="Times New Roman" w:cs="Times New Roman"/>
          <w:sz w:val="24"/>
          <w:szCs w:val="24"/>
          <w:lang w:val="en-US"/>
        </w:rPr>
        <w:t>(</w:t>
      </w:r>
      <w:r w:rsidR="005A1F07" w:rsidRPr="005A1F07">
        <w:rPr>
          <w:rFonts w:ascii="Times New Roman" w:hAnsi="Times New Roman" w:cs="Times New Roman"/>
          <w:sz w:val="24"/>
          <w:szCs w:val="24"/>
          <w:lang w:val="en-US"/>
        </w:rPr>
        <w:t>2006</w:t>
      </w:r>
      <w:r w:rsidR="000E0874">
        <w:rPr>
          <w:rFonts w:ascii="Times New Roman" w:hAnsi="Times New Roman" w:cs="Times New Roman"/>
          <w:sz w:val="24"/>
          <w:szCs w:val="24"/>
          <w:lang w:val="en-US"/>
        </w:rPr>
        <w:t>)</w:t>
      </w:r>
      <w:r w:rsidR="00AF6F66">
        <w:rPr>
          <w:rFonts w:ascii="Times New Roman" w:hAnsi="Times New Roman" w:cs="Times New Roman"/>
          <w:sz w:val="24"/>
          <w:szCs w:val="24"/>
          <w:lang w:val="en-US"/>
        </w:rPr>
        <w:t xml:space="preserve"> and</w:t>
      </w:r>
      <w:r w:rsidR="005A1F07" w:rsidRPr="005A1F07">
        <w:rPr>
          <w:rFonts w:ascii="Times New Roman" w:hAnsi="Times New Roman" w:cs="Times New Roman"/>
          <w:sz w:val="24"/>
          <w:szCs w:val="24"/>
          <w:lang w:val="en-US"/>
        </w:rPr>
        <w:t xml:space="preserve"> Abeywardhan and Panditharathana </w:t>
      </w:r>
      <w:r w:rsidR="000E0874">
        <w:rPr>
          <w:rFonts w:ascii="Times New Roman" w:hAnsi="Times New Roman" w:cs="Times New Roman"/>
          <w:sz w:val="24"/>
          <w:szCs w:val="24"/>
          <w:lang w:val="en-US"/>
        </w:rPr>
        <w:t>(</w:t>
      </w:r>
      <w:r w:rsidR="005A1F07" w:rsidRPr="005A1F07">
        <w:rPr>
          <w:rFonts w:ascii="Times New Roman" w:hAnsi="Times New Roman" w:cs="Times New Roman"/>
          <w:sz w:val="24"/>
          <w:szCs w:val="24"/>
          <w:lang w:val="en-US"/>
        </w:rPr>
        <w:t>2016)</w:t>
      </w:r>
      <w:r w:rsidR="0093338D">
        <w:rPr>
          <w:rFonts w:ascii="Times New Roman" w:hAnsi="Times New Roman" w:cs="Times New Roman"/>
          <w:sz w:val="24"/>
          <w:szCs w:val="24"/>
          <w:lang w:val="en-US"/>
        </w:rPr>
        <w:t xml:space="preserve"> suggest</w:t>
      </w:r>
      <w:r w:rsidR="005A1F07">
        <w:rPr>
          <w:rFonts w:ascii="Times New Roman" w:hAnsi="Times New Roman" w:cs="Times New Roman"/>
          <w:sz w:val="24"/>
          <w:szCs w:val="24"/>
          <w:lang w:val="en-US"/>
        </w:rPr>
        <w:t xml:space="preserve"> t</w:t>
      </w:r>
      <w:r w:rsidR="005A1F07" w:rsidRPr="005A1F07">
        <w:rPr>
          <w:rFonts w:ascii="Times New Roman" w:hAnsi="Times New Roman" w:cs="Times New Roman"/>
          <w:sz w:val="24"/>
          <w:szCs w:val="24"/>
          <w:lang w:val="en-US"/>
        </w:rPr>
        <w:t xml:space="preserve">he act of revealing more willingly is positively related to the shares held by foreigners and institutional shareholders, level of leverage, firm size, </w:t>
      </w:r>
      <w:r w:rsidR="00A13E38">
        <w:rPr>
          <w:rFonts w:ascii="Times New Roman" w:hAnsi="Times New Roman" w:cs="Times New Roman"/>
          <w:sz w:val="24"/>
          <w:szCs w:val="24"/>
          <w:lang w:val="en-US"/>
        </w:rPr>
        <w:t xml:space="preserve">an </w:t>
      </w:r>
      <w:r w:rsidR="005A1F07" w:rsidRPr="005A1F07">
        <w:rPr>
          <w:rFonts w:ascii="Times New Roman" w:hAnsi="Times New Roman" w:cs="Times New Roman"/>
          <w:sz w:val="24"/>
          <w:szCs w:val="24"/>
          <w:lang w:val="en-US"/>
        </w:rPr>
        <w:t>external audit by audit firms, profitability, and liquidity, according to the determinants of voluntary disclosures.</w:t>
      </w:r>
      <w:r w:rsidR="005A1F07">
        <w:rPr>
          <w:rFonts w:ascii="Times New Roman" w:hAnsi="Times New Roman" w:cs="Times New Roman"/>
          <w:sz w:val="24"/>
          <w:szCs w:val="24"/>
          <w:lang w:val="en-US"/>
        </w:rPr>
        <w:t xml:space="preserve"> </w:t>
      </w:r>
      <w:r w:rsidR="00707A38" w:rsidRPr="00707A38">
        <w:rPr>
          <w:rFonts w:ascii="Times New Roman" w:hAnsi="Times New Roman" w:cs="Times New Roman"/>
          <w:sz w:val="24"/>
          <w:szCs w:val="24"/>
          <w:lang w:val="en-US"/>
        </w:rPr>
        <w:t>Eng and Mak (2003)</w:t>
      </w:r>
      <w:r w:rsidR="005A1F07">
        <w:rPr>
          <w:rFonts w:ascii="Times New Roman" w:hAnsi="Times New Roman" w:cs="Times New Roman"/>
          <w:sz w:val="24"/>
          <w:szCs w:val="24"/>
          <w:lang w:val="en-US"/>
        </w:rPr>
        <w:t xml:space="preserve"> suggest </w:t>
      </w:r>
      <w:r w:rsidR="009145A9">
        <w:rPr>
          <w:rFonts w:ascii="Times New Roman" w:hAnsi="Times New Roman" w:cs="Times New Roman"/>
          <w:sz w:val="24"/>
          <w:szCs w:val="24"/>
          <w:lang w:val="en-US"/>
        </w:rPr>
        <w:t>low debt</w:t>
      </w:r>
      <w:r w:rsidR="005A1F07">
        <w:rPr>
          <w:rFonts w:ascii="Times New Roman" w:hAnsi="Times New Roman" w:cs="Times New Roman"/>
          <w:sz w:val="24"/>
          <w:szCs w:val="24"/>
          <w:lang w:val="en-US"/>
        </w:rPr>
        <w:t xml:space="preserve"> and </w:t>
      </w:r>
      <w:r w:rsidR="009145A9">
        <w:rPr>
          <w:rFonts w:ascii="Times New Roman" w:hAnsi="Times New Roman" w:cs="Times New Roman"/>
          <w:sz w:val="24"/>
          <w:szCs w:val="24"/>
          <w:lang w:val="en-US"/>
        </w:rPr>
        <w:t>larger</w:t>
      </w:r>
      <w:r w:rsidR="005A1F07">
        <w:rPr>
          <w:rFonts w:ascii="Times New Roman" w:hAnsi="Times New Roman" w:cs="Times New Roman"/>
          <w:sz w:val="24"/>
          <w:szCs w:val="24"/>
          <w:lang w:val="en-US"/>
        </w:rPr>
        <w:t xml:space="preserve"> firms </w:t>
      </w:r>
      <w:r w:rsidR="009145A9">
        <w:rPr>
          <w:rFonts w:ascii="Times New Roman" w:hAnsi="Times New Roman" w:cs="Times New Roman"/>
          <w:sz w:val="24"/>
          <w:szCs w:val="24"/>
          <w:lang w:val="en-US"/>
        </w:rPr>
        <w:t>reveal</w:t>
      </w:r>
      <w:r w:rsidR="005A1F07">
        <w:rPr>
          <w:rFonts w:ascii="Times New Roman" w:hAnsi="Times New Roman" w:cs="Times New Roman"/>
          <w:sz w:val="24"/>
          <w:szCs w:val="24"/>
          <w:lang w:val="en-US"/>
        </w:rPr>
        <w:t xml:space="preserve"> more.</w:t>
      </w:r>
      <w:r w:rsidR="00707A38" w:rsidRPr="00707A38">
        <w:rPr>
          <w:rFonts w:ascii="Times New Roman" w:hAnsi="Times New Roman" w:cs="Times New Roman"/>
          <w:sz w:val="24"/>
          <w:szCs w:val="24"/>
          <w:lang w:val="en-US"/>
        </w:rPr>
        <w:t xml:space="preserve"> </w:t>
      </w:r>
      <w:r w:rsidR="005A1F07" w:rsidRPr="00707A38">
        <w:rPr>
          <w:rFonts w:ascii="Times New Roman" w:hAnsi="Times New Roman" w:cs="Times New Roman"/>
          <w:sz w:val="24"/>
          <w:szCs w:val="24"/>
          <w:lang w:val="en-US"/>
        </w:rPr>
        <w:t>Quayes and Hasan (2014)</w:t>
      </w:r>
      <w:r w:rsidR="005A1F07">
        <w:rPr>
          <w:rFonts w:ascii="Times New Roman" w:hAnsi="Times New Roman" w:cs="Times New Roman"/>
          <w:sz w:val="24"/>
          <w:szCs w:val="24"/>
          <w:lang w:val="en-US"/>
        </w:rPr>
        <w:t xml:space="preserve"> suggest firms' financial performance improves the quality of financial disclosure, which increases operational performance due to the endogenous relationship between performance and disclosure. </w:t>
      </w:r>
      <w:r w:rsidR="00707A38" w:rsidRPr="00707A38">
        <w:rPr>
          <w:rFonts w:ascii="Times New Roman" w:hAnsi="Times New Roman" w:cs="Times New Roman"/>
          <w:sz w:val="24"/>
          <w:szCs w:val="24"/>
          <w:highlight w:val="yellow"/>
          <w:lang w:val="en-GB"/>
        </w:rPr>
        <w:t>Research</w:t>
      </w:r>
      <w:r w:rsidR="00E91D0B">
        <w:rPr>
          <w:rFonts w:ascii="Times New Roman" w:hAnsi="Times New Roman" w:cs="Times New Roman"/>
          <w:sz w:val="24"/>
          <w:szCs w:val="24"/>
          <w:lang w:val="en-GB"/>
        </w:rPr>
        <w:t xml:space="preserve"> indicates that microfinance NGOs and for-profit firms disclose more social and financial release information on the internet, respectively </w:t>
      </w:r>
      <w:r w:rsidR="00447BCC">
        <w:rPr>
          <w:rFonts w:ascii="Times New Roman" w:hAnsi="Times New Roman" w:cs="Times New Roman"/>
          <w:sz w:val="24"/>
          <w:szCs w:val="24"/>
          <w:lang w:val="en-GB"/>
        </w:rPr>
        <w:t>(</w:t>
      </w:r>
      <w:r w:rsidR="00707A38" w:rsidRPr="00707A38">
        <w:rPr>
          <w:rFonts w:ascii="Times New Roman" w:hAnsi="Times New Roman" w:cs="Times New Roman"/>
          <w:sz w:val="24"/>
          <w:szCs w:val="24"/>
          <w:lang w:val="en-GB"/>
        </w:rPr>
        <w:t>Gutiérrez-Nieto et al., 2008</w:t>
      </w:r>
      <w:r w:rsidR="00E91D0B">
        <w:rPr>
          <w:rFonts w:ascii="Times New Roman" w:hAnsi="Times New Roman" w:cs="Times New Roman"/>
          <w:sz w:val="24"/>
          <w:szCs w:val="24"/>
          <w:lang w:val="en-GB"/>
        </w:rPr>
        <w:t xml:space="preserve">). </w:t>
      </w:r>
      <w:r w:rsidR="007D4665">
        <w:rPr>
          <w:rFonts w:ascii="Times New Roman" w:hAnsi="Times New Roman" w:cs="Times New Roman"/>
          <w:sz w:val="24"/>
          <w:szCs w:val="24"/>
          <w:lang w:val="en-GB"/>
        </w:rPr>
        <w:t>Internet disclosure gets impacted by country-level technology adoption.</w:t>
      </w:r>
      <w:r w:rsidR="00707A38" w:rsidRPr="00707A38">
        <w:rPr>
          <w:rFonts w:ascii="Times New Roman" w:hAnsi="Times New Roman" w:cs="Times New Roman"/>
          <w:sz w:val="24"/>
          <w:szCs w:val="24"/>
          <w:lang w:val="en-GB"/>
        </w:rPr>
        <w:t xml:space="preserve"> </w:t>
      </w:r>
    </w:p>
    <w:p w:rsidR="00707A38" w:rsidRPr="00707A38" w:rsidRDefault="00707A38" w:rsidP="00CE66C6">
      <w:pPr>
        <w:spacing w:after="200" w:line="480" w:lineRule="auto"/>
        <w:jc w:val="both"/>
        <w:rPr>
          <w:rFonts w:ascii="Times New Roman" w:hAnsi="Times New Roman" w:cs="Times New Roman"/>
          <w:sz w:val="24"/>
          <w:szCs w:val="24"/>
          <w:lang w:val="en-US"/>
        </w:rPr>
      </w:pPr>
      <w:r w:rsidRPr="00707A38">
        <w:rPr>
          <w:rFonts w:ascii="Times New Roman" w:hAnsi="Times New Roman" w:cs="Times New Roman"/>
          <w:sz w:val="24"/>
          <w:szCs w:val="24"/>
          <w:highlight w:val="yellow"/>
          <w:lang w:val="en-GB"/>
        </w:rPr>
        <w:t>The level and quality of voluntary disclosures are estimated through the indices. The disclosure indices can be self-created for the study or readily available (Al-Akra and Hutchinson, 2013; Al- Akra et al.</w:t>
      </w:r>
      <w:r w:rsidR="00523DBE">
        <w:rPr>
          <w:rFonts w:ascii="Times New Roman" w:hAnsi="Times New Roman" w:cs="Times New Roman"/>
          <w:sz w:val="24"/>
          <w:szCs w:val="24"/>
          <w:highlight w:val="yellow"/>
          <w:lang w:val="en-GB"/>
        </w:rPr>
        <w:t>,</w:t>
      </w:r>
      <w:r w:rsidRPr="00707A38">
        <w:rPr>
          <w:rFonts w:ascii="Times New Roman" w:hAnsi="Times New Roman" w:cs="Times New Roman"/>
          <w:sz w:val="24"/>
          <w:szCs w:val="24"/>
          <w:highlight w:val="yellow"/>
          <w:lang w:val="en-GB"/>
        </w:rPr>
        <w:t xml:space="preserve"> 2010; Tsang, 1998). The self-constructed indices have high reliability and confidence for the study over readily available indices due to difference</w:t>
      </w:r>
      <w:r w:rsidR="00523DBE">
        <w:rPr>
          <w:rFonts w:ascii="Times New Roman" w:hAnsi="Times New Roman" w:cs="Times New Roman"/>
          <w:sz w:val="24"/>
          <w:szCs w:val="24"/>
          <w:highlight w:val="yellow"/>
          <w:lang w:val="en-GB"/>
        </w:rPr>
        <w:t>s</w:t>
      </w:r>
      <w:r w:rsidRPr="00707A38">
        <w:rPr>
          <w:rFonts w:ascii="Times New Roman" w:hAnsi="Times New Roman" w:cs="Times New Roman"/>
          <w:sz w:val="24"/>
          <w:szCs w:val="24"/>
          <w:highlight w:val="yellow"/>
          <w:lang w:val="en-GB"/>
        </w:rPr>
        <w:t xml:space="preserve"> in the con</w:t>
      </w:r>
      <w:r w:rsidR="00523DBE">
        <w:rPr>
          <w:rFonts w:ascii="Times New Roman" w:hAnsi="Times New Roman" w:cs="Times New Roman"/>
          <w:sz w:val="24"/>
          <w:szCs w:val="24"/>
          <w:highlight w:val="yellow"/>
          <w:lang w:val="en-GB"/>
        </w:rPr>
        <w:t>text (Healy and Palepu, 2001)</w:t>
      </w:r>
      <w:r w:rsidRPr="00707A38">
        <w:rPr>
          <w:rFonts w:ascii="Times New Roman" w:hAnsi="Times New Roman" w:cs="Times New Roman"/>
          <w:sz w:val="24"/>
          <w:szCs w:val="24"/>
          <w:highlight w:val="yellow"/>
          <w:lang w:val="en-GB"/>
        </w:rPr>
        <w:t>.</w:t>
      </w:r>
      <w:r w:rsidRPr="00707A38">
        <w:rPr>
          <w:rFonts w:ascii="Times New Roman" w:hAnsi="Times New Roman" w:cs="Times New Roman"/>
          <w:sz w:val="24"/>
          <w:szCs w:val="24"/>
          <w:lang w:val="en-GB"/>
        </w:rPr>
        <w:t xml:space="preserve"> </w:t>
      </w:r>
      <w:r w:rsidR="00943869">
        <w:rPr>
          <w:rFonts w:ascii="Times New Roman" w:hAnsi="Times New Roman" w:cs="Times New Roman"/>
          <w:sz w:val="24"/>
          <w:szCs w:val="24"/>
          <w:lang w:val="en-US"/>
        </w:rPr>
        <w:t>The expert ratings on the categories determine relevancy</w:t>
      </w:r>
      <w:r w:rsidR="00523DBE" w:rsidRPr="00523DBE">
        <w:rPr>
          <w:rFonts w:ascii="Times New Roman" w:hAnsi="Times New Roman" w:cs="Times New Roman"/>
          <w:sz w:val="24"/>
          <w:szCs w:val="24"/>
          <w:lang w:val="en-US"/>
        </w:rPr>
        <w:t>.</w:t>
      </w:r>
      <w:r w:rsidR="00523DBE" w:rsidRPr="00523DBE">
        <w:t xml:space="preserve"> </w:t>
      </w:r>
      <w:r w:rsidR="00523DBE" w:rsidRPr="00523DBE">
        <w:rPr>
          <w:rFonts w:ascii="Times New Roman" w:hAnsi="Times New Roman" w:cs="Times New Roman"/>
          <w:spacing w:val="5"/>
          <w:sz w:val="24"/>
          <w:szCs w:val="24"/>
          <w:shd w:val="clear" w:color="auto" w:fill="FFFFFF"/>
          <w:lang w:val="en-US"/>
        </w:rPr>
        <w:t xml:space="preserve">It </w:t>
      </w:r>
      <w:r w:rsidR="00943869">
        <w:rPr>
          <w:rFonts w:ascii="Times New Roman" w:hAnsi="Times New Roman" w:cs="Times New Roman"/>
          <w:spacing w:val="5"/>
          <w:sz w:val="24"/>
          <w:szCs w:val="24"/>
          <w:shd w:val="clear" w:color="auto" w:fill="FFFFFF"/>
          <w:lang w:val="en-US"/>
        </w:rPr>
        <w:t>is</w:t>
      </w:r>
      <w:r w:rsidR="00523DBE" w:rsidRPr="00523DBE">
        <w:rPr>
          <w:rFonts w:ascii="Times New Roman" w:hAnsi="Times New Roman" w:cs="Times New Roman"/>
          <w:spacing w:val="5"/>
          <w:sz w:val="24"/>
          <w:szCs w:val="24"/>
          <w:shd w:val="clear" w:color="auto" w:fill="FFFFFF"/>
          <w:lang w:val="en-US"/>
        </w:rPr>
        <w:t xml:space="preserve"> discovered that the </w:t>
      </w:r>
      <w:r w:rsidR="00943869">
        <w:rPr>
          <w:rFonts w:ascii="Times New Roman" w:hAnsi="Times New Roman" w:cs="Times New Roman"/>
          <w:spacing w:val="5"/>
          <w:sz w:val="24"/>
          <w:szCs w:val="24"/>
          <w:shd w:val="clear" w:color="auto" w:fill="FFFFFF"/>
          <w:lang w:val="en-US"/>
        </w:rPr>
        <w:t xml:space="preserve">VD </w:t>
      </w:r>
      <w:r w:rsidR="00E70265">
        <w:rPr>
          <w:rFonts w:ascii="Times New Roman" w:hAnsi="Times New Roman" w:cs="Times New Roman"/>
          <w:spacing w:val="5"/>
          <w:sz w:val="24"/>
          <w:szCs w:val="24"/>
          <w:shd w:val="clear" w:color="auto" w:fill="FFFFFF"/>
          <w:lang w:val="en-US"/>
        </w:rPr>
        <w:t>quality and quantity</w:t>
      </w:r>
      <w:r w:rsidR="00523DBE" w:rsidRPr="00523DBE">
        <w:rPr>
          <w:rFonts w:ascii="Times New Roman" w:hAnsi="Times New Roman" w:cs="Times New Roman"/>
          <w:spacing w:val="5"/>
          <w:sz w:val="24"/>
          <w:szCs w:val="24"/>
          <w:shd w:val="clear" w:color="auto" w:fill="FFFFFF"/>
          <w:lang w:val="en-US"/>
        </w:rPr>
        <w:t xml:space="preserve"> are related to the firm's type and complexity.</w:t>
      </w:r>
      <w:r w:rsidR="00523DBE">
        <w:rPr>
          <w:rFonts w:ascii="Times New Roman" w:hAnsi="Times New Roman" w:cs="Times New Roman"/>
          <w:spacing w:val="5"/>
          <w:sz w:val="24"/>
          <w:szCs w:val="24"/>
          <w:shd w:val="clear" w:color="auto" w:fill="FFFFFF"/>
          <w:lang w:val="en-US"/>
        </w:rPr>
        <w:t xml:space="preserve"> The primary sources of information disclosures remain to be annual reports</w:t>
      </w:r>
      <w:r w:rsidRPr="00707A38">
        <w:rPr>
          <w:rFonts w:ascii="Times New Roman" w:hAnsi="Times New Roman" w:cs="Times New Roman"/>
          <w:sz w:val="24"/>
          <w:szCs w:val="24"/>
        </w:rPr>
        <w:t xml:space="preserve"> (Beattie et al. 2004). </w:t>
      </w:r>
    </w:p>
    <w:p w:rsidR="00A5110F" w:rsidRDefault="009C2CC7" w:rsidP="00707A38">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9C2CC7">
        <w:rPr>
          <w:rFonts w:ascii="Times New Roman" w:hAnsi="Times New Roman" w:cs="Times New Roman"/>
          <w:sz w:val="24"/>
          <w:szCs w:val="24"/>
          <w:lang w:val="en-US"/>
        </w:rPr>
        <w:t xml:space="preserve"> two me</w:t>
      </w:r>
      <w:r>
        <w:rPr>
          <w:rFonts w:ascii="Times New Roman" w:hAnsi="Times New Roman" w:cs="Times New Roman"/>
          <w:sz w:val="24"/>
          <w:szCs w:val="24"/>
          <w:lang w:val="en-US"/>
        </w:rPr>
        <w:t>thods for calculating the index are</w:t>
      </w:r>
      <w:r w:rsidRPr="009C2CC7">
        <w:rPr>
          <w:rFonts w:ascii="Times New Roman" w:hAnsi="Times New Roman" w:cs="Times New Roman"/>
          <w:sz w:val="24"/>
          <w:szCs w:val="24"/>
          <w:lang w:val="en-US"/>
        </w:rPr>
        <w:t xml:space="preserve"> weighted and unweighted. </w:t>
      </w:r>
      <w:r w:rsidR="00707A38" w:rsidRPr="00707A38">
        <w:rPr>
          <w:rFonts w:ascii="Times New Roman" w:hAnsi="Times New Roman" w:cs="Times New Roman"/>
          <w:sz w:val="24"/>
          <w:szCs w:val="24"/>
        </w:rPr>
        <w:t>(Botosan, 1997; Firer and Meth, 1986; Singhvi and Desai, 1971)</w:t>
      </w:r>
      <w:r w:rsidR="00707A38" w:rsidRPr="00707A38">
        <w:rPr>
          <w:rFonts w:ascii="Times New Roman" w:hAnsi="Times New Roman" w:cs="Times New Roman"/>
          <w:sz w:val="24"/>
          <w:szCs w:val="24"/>
          <w:lang w:val="en-US"/>
        </w:rPr>
        <w:t>.</w:t>
      </w:r>
      <w:r w:rsidRPr="009C2CC7">
        <w:rPr>
          <w:rFonts w:ascii="Times New Roman" w:hAnsi="Times New Roman" w:cs="Times New Roman"/>
          <w:sz w:val="24"/>
          <w:szCs w:val="24"/>
          <w:lang w:val="en-US"/>
        </w:rPr>
        <w:t xml:space="preserve"> The unweighted index is neutral and as</w:t>
      </w:r>
      <w:r>
        <w:rPr>
          <w:rFonts w:ascii="Times New Roman" w:hAnsi="Times New Roman" w:cs="Times New Roman"/>
          <w:sz w:val="24"/>
          <w:szCs w:val="24"/>
          <w:lang w:val="en-US"/>
        </w:rPr>
        <w:t>signs equal weight to all items</w:t>
      </w:r>
      <w:r w:rsidR="00A5110F">
        <w:rPr>
          <w:rFonts w:ascii="Times New Roman" w:hAnsi="Times New Roman" w:cs="Times New Roman"/>
          <w:sz w:val="24"/>
          <w:szCs w:val="24"/>
          <w:lang w:val="en-US"/>
        </w:rPr>
        <w:t>,</w:t>
      </w:r>
      <w:r>
        <w:rPr>
          <w:rFonts w:ascii="Times New Roman" w:hAnsi="Times New Roman" w:cs="Times New Roman"/>
          <w:sz w:val="24"/>
          <w:szCs w:val="24"/>
          <w:lang w:val="en-US"/>
        </w:rPr>
        <w:t xml:space="preserve"> whereas t</w:t>
      </w:r>
      <w:r w:rsidRPr="009C2CC7">
        <w:rPr>
          <w:rFonts w:ascii="Times New Roman" w:hAnsi="Times New Roman" w:cs="Times New Roman"/>
          <w:sz w:val="24"/>
          <w:szCs w:val="24"/>
          <w:lang w:val="en-US"/>
        </w:rPr>
        <w:t xml:space="preserve">he weighted index </w:t>
      </w:r>
      <w:r w:rsidR="002D567D">
        <w:rPr>
          <w:rFonts w:ascii="Times New Roman" w:hAnsi="Times New Roman" w:cs="Times New Roman"/>
          <w:sz w:val="24"/>
          <w:szCs w:val="24"/>
          <w:lang w:val="en-US"/>
        </w:rPr>
        <w:t>give</w:t>
      </w:r>
      <w:r w:rsidR="00A5110F">
        <w:rPr>
          <w:rFonts w:ascii="Times New Roman" w:hAnsi="Times New Roman" w:cs="Times New Roman"/>
          <w:sz w:val="24"/>
          <w:szCs w:val="24"/>
          <w:lang w:val="en-US"/>
        </w:rPr>
        <w:t xml:space="preserve">s weights based on the </w:t>
      </w:r>
      <w:r w:rsidR="002D567D">
        <w:rPr>
          <w:rFonts w:ascii="Times New Roman" w:hAnsi="Times New Roman" w:cs="Times New Roman"/>
          <w:sz w:val="24"/>
          <w:szCs w:val="24"/>
          <w:lang w:val="en-US"/>
        </w:rPr>
        <w:t>objective of the current study</w:t>
      </w:r>
      <w:r w:rsidR="00A5110F">
        <w:rPr>
          <w:rFonts w:ascii="Times New Roman" w:hAnsi="Times New Roman" w:cs="Times New Roman"/>
          <w:sz w:val="24"/>
          <w:szCs w:val="24"/>
          <w:lang w:val="en-US"/>
        </w:rPr>
        <w:t>.</w:t>
      </w:r>
      <w:r w:rsidRPr="009C2CC7">
        <w:rPr>
          <w:rFonts w:ascii="Times New Roman" w:hAnsi="Times New Roman" w:cs="Times New Roman"/>
          <w:sz w:val="24"/>
          <w:szCs w:val="24"/>
          <w:lang w:val="en-US"/>
        </w:rPr>
        <w:t xml:space="preserve"> </w:t>
      </w:r>
    </w:p>
    <w:p w:rsidR="00707A38" w:rsidRPr="00CD06AE" w:rsidRDefault="001C36AE" w:rsidP="00707A38">
      <w:pPr>
        <w:spacing w:after="200" w:line="480" w:lineRule="auto"/>
        <w:jc w:val="both"/>
        <w:rPr>
          <w:rFonts w:ascii="Times New Roman" w:hAnsi="Times New Roman" w:cs="Times New Roman"/>
          <w:b/>
          <w:sz w:val="24"/>
          <w:szCs w:val="24"/>
          <w:highlight w:val="yellow"/>
          <w:lang w:val="en-GB"/>
        </w:rPr>
      </w:pPr>
      <w:r w:rsidRPr="00CD06AE">
        <w:rPr>
          <w:rFonts w:ascii="Times New Roman" w:hAnsi="Times New Roman" w:cs="Times New Roman"/>
          <w:b/>
          <w:sz w:val="24"/>
          <w:szCs w:val="24"/>
          <w:highlight w:val="yellow"/>
          <w:lang w:val="en-GB"/>
        </w:rPr>
        <w:t xml:space="preserve">2.2 </w:t>
      </w:r>
      <w:r w:rsidR="00707A38" w:rsidRPr="00CD06AE">
        <w:rPr>
          <w:rFonts w:ascii="Times New Roman" w:hAnsi="Times New Roman" w:cs="Times New Roman"/>
          <w:b/>
          <w:sz w:val="24"/>
          <w:szCs w:val="24"/>
          <w:highlight w:val="yellow"/>
          <w:lang w:val="en-GB"/>
        </w:rPr>
        <w:t xml:space="preserve">Technical </w:t>
      </w:r>
      <w:r w:rsidR="001903B4" w:rsidRPr="00CD06AE">
        <w:rPr>
          <w:rFonts w:ascii="Times New Roman" w:hAnsi="Times New Roman" w:cs="Times New Roman"/>
          <w:b/>
          <w:sz w:val="24"/>
          <w:szCs w:val="24"/>
          <w:highlight w:val="yellow"/>
          <w:lang w:val="en-GB"/>
        </w:rPr>
        <w:t>e</w:t>
      </w:r>
      <w:r w:rsidR="00707A38" w:rsidRPr="00CD06AE">
        <w:rPr>
          <w:rFonts w:ascii="Times New Roman" w:hAnsi="Times New Roman" w:cs="Times New Roman"/>
          <w:b/>
          <w:sz w:val="24"/>
          <w:szCs w:val="24"/>
          <w:highlight w:val="yellow"/>
          <w:lang w:val="en-GB"/>
        </w:rPr>
        <w:t>fficiency of microfinance institu</w:t>
      </w:r>
      <w:r w:rsidR="004B7371" w:rsidRPr="00CD06AE">
        <w:rPr>
          <w:rFonts w:ascii="Times New Roman" w:hAnsi="Times New Roman" w:cs="Times New Roman"/>
          <w:b/>
          <w:sz w:val="24"/>
          <w:szCs w:val="24"/>
          <w:highlight w:val="yellow"/>
          <w:lang w:val="en-GB"/>
        </w:rPr>
        <w:t>t</w:t>
      </w:r>
      <w:r w:rsidR="00707A38" w:rsidRPr="00CD06AE">
        <w:rPr>
          <w:rFonts w:ascii="Times New Roman" w:hAnsi="Times New Roman" w:cs="Times New Roman"/>
          <w:b/>
          <w:sz w:val="24"/>
          <w:szCs w:val="24"/>
          <w:highlight w:val="yellow"/>
          <w:lang w:val="en-GB"/>
        </w:rPr>
        <w:t xml:space="preserve">ions </w:t>
      </w:r>
    </w:p>
    <w:p w:rsidR="00707A38" w:rsidRPr="00707A38" w:rsidRDefault="004406DC" w:rsidP="00707A38">
      <w:pPr>
        <w:spacing w:after="200" w:line="480" w:lineRule="auto"/>
        <w:jc w:val="both"/>
        <w:rPr>
          <w:rFonts w:ascii="Times New Roman" w:hAnsi="Times New Roman" w:cs="Times New Roman"/>
          <w:sz w:val="24"/>
          <w:szCs w:val="24"/>
          <w:highlight w:val="yellow"/>
          <w:lang w:val="en-GB"/>
        </w:rPr>
      </w:pPr>
      <w:r w:rsidRPr="004406DC">
        <w:rPr>
          <w:rFonts w:ascii="Times New Roman" w:hAnsi="Times New Roman" w:cs="Times New Roman"/>
          <w:sz w:val="24"/>
          <w:szCs w:val="24"/>
          <w:highlight w:val="yellow"/>
          <w:lang w:val="en-GB"/>
        </w:rPr>
        <w:t xml:space="preserve">Efficiency refers to the process of utilizing available resources and allocating resources optimally </w:t>
      </w:r>
      <w:r w:rsidR="00EE3A04" w:rsidRPr="004406DC">
        <w:rPr>
          <w:rFonts w:ascii="Times New Roman" w:hAnsi="Times New Roman" w:cs="Times New Roman"/>
          <w:sz w:val="24"/>
          <w:szCs w:val="24"/>
          <w:highlight w:val="yellow"/>
          <w:lang w:val="en-GB"/>
        </w:rPr>
        <w:t>(Achabal et al. 1984</w:t>
      </w:r>
      <w:r w:rsidR="00EE3A04">
        <w:rPr>
          <w:rFonts w:ascii="Times New Roman" w:hAnsi="Times New Roman" w:cs="Times New Roman"/>
          <w:sz w:val="24"/>
          <w:szCs w:val="24"/>
          <w:highlight w:val="yellow"/>
          <w:lang w:val="en-GB"/>
        </w:rPr>
        <w:t xml:space="preserve">) </w:t>
      </w:r>
      <w:r w:rsidRPr="004406DC">
        <w:rPr>
          <w:rFonts w:ascii="Times New Roman" w:hAnsi="Times New Roman" w:cs="Times New Roman"/>
          <w:sz w:val="24"/>
          <w:szCs w:val="24"/>
          <w:highlight w:val="yellow"/>
          <w:lang w:val="en-GB"/>
        </w:rPr>
        <w:t>within a decision</w:t>
      </w:r>
      <w:r>
        <w:rPr>
          <w:rFonts w:ascii="Times New Roman" w:hAnsi="Times New Roman" w:cs="Times New Roman"/>
          <w:sz w:val="24"/>
          <w:szCs w:val="24"/>
          <w:highlight w:val="yellow"/>
          <w:lang w:val="en-GB"/>
        </w:rPr>
        <w:t>-</w:t>
      </w:r>
      <w:r w:rsidRPr="004406DC">
        <w:rPr>
          <w:rFonts w:ascii="Times New Roman" w:hAnsi="Times New Roman" w:cs="Times New Roman"/>
          <w:sz w:val="24"/>
          <w:szCs w:val="24"/>
          <w:highlight w:val="yellow"/>
          <w:lang w:val="en-GB"/>
        </w:rPr>
        <w:t>making unit (DMU)</w:t>
      </w:r>
      <w:r w:rsidR="001C36AE">
        <w:rPr>
          <w:rFonts w:ascii="Times New Roman" w:hAnsi="Times New Roman" w:cs="Times New Roman"/>
          <w:sz w:val="24"/>
          <w:szCs w:val="24"/>
          <w:highlight w:val="yellow"/>
          <w:lang w:val="en-GB"/>
        </w:rPr>
        <w:t xml:space="preserve"> </w:t>
      </w:r>
      <w:r w:rsidR="00EE3A04">
        <w:rPr>
          <w:rFonts w:ascii="Times New Roman" w:hAnsi="Times New Roman" w:cs="Times New Roman"/>
          <w:sz w:val="24"/>
          <w:szCs w:val="24"/>
          <w:highlight w:val="yellow"/>
          <w:lang w:val="en-GB"/>
        </w:rPr>
        <w:t>(</w:t>
      </w:r>
      <w:r w:rsidR="00CF2152">
        <w:rPr>
          <w:rFonts w:ascii="Times New Roman" w:hAnsi="Times New Roman" w:cs="Times New Roman"/>
          <w:sz w:val="24"/>
          <w:szCs w:val="24"/>
          <w:highlight w:val="yellow"/>
          <w:lang w:val="en-GB"/>
        </w:rPr>
        <w:t>Gola</w:t>
      </w:r>
      <w:r w:rsidR="00EE3A04" w:rsidRPr="004406DC">
        <w:rPr>
          <w:rFonts w:ascii="Times New Roman" w:hAnsi="Times New Roman" w:cs="Times New Roman"/>
          <w:sz w:val="24"/>
          <w:szCs w:val="24"/>
          <w:highlight w:val="yellow"/>
          <w:lang w:val="en-GB"/>
        </w:rPr>
        <w:t>ny</w:t>
      </w:r>
      <w:r w:rsidR="00EE3A04">
        <w:rPr>
          <w:rFonts w:ascii="Times New Roman" w:hAnsi="Times New Roman" w:cs="Times New Roman"/>
          <w:sz w:val="24"/>
          <w:szCs w:val="24"/>
          <w:highlight w:val="yellow"/>
          <w:lang w:val="en-GB"/>
        </w:rPr>
        <w:t xml:space="preserve"> and Storbeck 1999; </w:t>
      </w:r>
      <w:r w:rsidRPr="004406DC">
        <w:rPr>
          <w:rFonts w:ascii="Times New Roman" w:hAnsi="Times New Roman" w:cs="Times New Roman"/>
          <w:sz w:val="24"/>
          <w:szCs w:val="24"/>
          <w:highlight w:val="yellow"/>
          <w:lang w:val="en-GB"/>
        </w:rPr>
        <w:t>C</w:t>
      </w:r>
      <w:r w:rsidR="00EE3A04">
        <w:rPr>
          <w:rFonts w:ascii="Times New Roman" w:hAnsi="Times New Roman" w:cs="Times New Roman"/>
          <w:sz w:val="24"/>
          <w:szCs w:val="24"/>
          <w:highlight w:val="yellow"/>
          <w:lang w:val="en-GB"/>
        </w:rPr>
        <w:t>aballer-Tarazone et al. 2010).</w:t>
      </w:r>
      <w:r>
        <w:rPr>
          <w:rFonts w:ascii="Times New Roman" w:hAnsi="Times New Roman" w:cs="Times New Roman"/>
          <w:sz w:val="24"/>
          <w:szCs w:val="24"/>
          <w:highlight w:val="yellow"/>
          <w:lang w:val="en-GB"/>
        </w:rPr>
        <w:t xml:space="preserve"> </w:t>
      </w:r>
      <w:r w:rsidR="00707A38" w:rsidRPr="004406DC">
        <w:rPr>
          <w:rFonts w:ascii="Times New Roman" w:hAnsi="Times New Roman" w:cs="Times New Roman"/>
          <w:sz w:val="24"/>
          <w:szCs w:val="24"/>
          <w:highlight w:val="yellow"/>
          <w:lang w:val="en-GB"/>
        </w:rPr>
        <w:t xml:space="preserve">The </w:t>
      </w:r>
      <w:r w:rsidR="00707A38" w:rsidRPr="00707A38">
        <w:rPr>
          <w:rFonts w:ascii="Times New Roman" w:hAnsi="Times New Roman" w:cs="Times New Roman"/>
          <w:sz w:val="24"/>
          <w:szCs w:val="24"/>
          <w:highlight w:val="yellow"/>
          <w:lang w:val="en-GB"/>
        </w:rPr>
        <w:t>efficiency is applied to evaluate the per</w:t>
      </w:r>
      <w:r w:rsidR="00067E8E">
        <w:rPr>
          <w:rFonts w:ascii="Times New Roman" w:hAnsi="Times New Roman" w:cs="Times New Roman"/>
          <w:sz w:val="24"/>
          <w:szCs w:val="24"/>
          <w:highlight w:val="yellow"/>
          <w:lang w:val="en-GB"/>
        </w:rPr>
        <w:t xml:space="preserve">formance of the Indian banks (Kumar and Gulati </w:t>
      </w:r>
      <w:r w:rsidR="00707A38" w:rsidRPr="00707A38">
        <w:rPr>
          <w:rFonts w:ascii="Times New Roman" w:hAnsi="Times New Roman" w:cs="Times New Roman"/>
          <w:sz w:val="24"/>
          <w:szCs w:val="24"/>
          <w:highlight w:val="yellow"/>
          <w:lang w:val="en-GB"/>
        </w:rPr>
        <w:t>2010</w:t>
      </w:r>
      <w:r w:rsidR="00475E79">
        <w:rPr>
          <w:rFonts w:ascii="Times New Roman" w:hAnsi="Times New Roman" w:cs="Times New Roman"/>
          <w:sz w:val="24"/>
          <w:szCs w:val="24"/>
          <w:highlight w:val="yellow"/>
          <w:lang w:val="en-GB"/>
        </w:rPr>
        <w:t>; Sabui and Sharma 2020</w:t>
      </w:r>
      <w:r w:rsidR="00707A38" w:rsidRPr="00707A38">
        <w:rPr>
          <w:rFonts w:ascii="Times New Roman" w:hAnsi="Times New Roman" w:cs="Times New Roman"/>
          <w:sz w:val="24"/>
          <w:szCs w:val="24"/>
          <w:highlight w:val="yellow"/>
          <w:lang w:val="en-GB"/>
        </w:rPr>
        <w:t>). The microfinance institu</w:t>
      </w:r>
      <w:r>
        <w:rPr>
          <w:rFonts w:ascii="Times New Roman" w:hAnsi="Times New Roman" w:cs="Times New Roman"/>
          <w:sz w:val="24"/>
          <w:szCs w:val="24"/>
          <w:highlight w:val="yellow"/>
          <w:lang w:val="en-GB"/>
        </w:rPr>
        <w:t>t</w:t>
      </w:r>
      <w:r w:rsidR="00707A38" w:rsidRPr="00707A38">
        <w:rPr>
          <w:rFonts w:ascii="Times New Roman" w:hAnsi="Times New Roman" w:cs="Times New Roman"/>
          <w:sz w:val="24"/>
          <w:szCs w:val="24"/>
          <w:highlight w:val="yellow"/>
          <w:lang w:val="en-GB"/>
        </w:rPr>
        <w:t>ion</w:t>
      </w:r>
      <w:r>
        <w:rPr>
          <w:rFonts w:ascii="Times New Roman" w:hAnsi="Times New Roman" w:cs="Times New Roman"/>
          <w:sz w:val="24"/>
          <w:szCs w:val="24"/>
          <w:highlight w:val="yellow"/>
          <w:lang w:val="en-GB"/>
        </w:rPr>
        <w:t>'</w:t>
      </w:r>
      <w:r w:rsidR="00707A38" w:rsidRPr="00707A38">
        <w:rPr>
          <w:rFonts w:ascii="Times New Roman" w:hAnsi="Times New Roman" w:cs="Times New Roman"/>
          <w:sz w:val="24"/>
          <w:szCs w:val="24"/>
          <w:highlight w:val="yellow"/>
          <w:lang w:val="en-GB"/>
        </w:rPr>
        <w:t>s performance can be assessed through dual measures called financial efficiency and social efficiency (</w:t>
      </w:r>
      <w:r w:rsidR="00A87857">
        <w:rPr>
          <w:rFonts w:ascii="Times New Roman" w:hAnsi="Times New Roman" w:cs="Times New Roman"/>
          <w:sz w:val="24"/>
          <w:szCs w:val="24"/>
          <w:highlight w:val="yellow"/>
          <w:lang w:val="en-GB"/>
        </w:rPr>
        <w:t xml:space="preserve">Hermes et al., 2011; </w:t>
      </w:r>
      <w:r w:rsidR="00707A38" w:rsidRPr="00707A38">
        <w:rPr>
          <w:rFonts w:ascii="Times New Roman" w:hAnsi="Times New Roman" w:cs="Times New Roman"/>
          <w:sz w:val="24"/>
          <w:szCs w:val="24"/>
          <w:highlight w:val="yellow"/>
          <w:lang w:val="en-GB"/>
        </w:rPr>
        <w:t>Louis et al.</w:t>
      </w:r>
      <w:r>
        <w:rPr>
          <w:rFonts w:ascii="Times New Roman" w:hAnsi="Times New Roman" w:cs="Times New Roman"/>
          <w:sz w:val="24"/>
          <w:szCs w:val="24"/>
          <w:highlight w:val="yellow"/>
          <w:lang w:val="en-GB"/>
        </w:rPr>
        <w:t>, 2013</w:t>
      </w:r>
      <w:r w:rsidR="00A87857">
        <w:rPr>
          <w:rFonts w:ascii="Times New Roman" w:hAnsi="Times New Roman" w:cs="Times New Roman"/>
          <w:sz w:val="24"/>
          <w:szCs w:val="24"/>
          <w:highlight w:val="yellow"/>
          <w:lang w:val="en-GB"/>
        </w:rPr>
        <w:t>; Hermes et al., 2018</w:t>
      </w:r>
      <w:r w:rsidR="002153E8">
        <w:rPr>
          <w:rFonts w:ascii="Times New Roman" w:hAnsi="Times New Roman" w:cs="Times New Roman"/>
          <w:sz w:val="24"/>
          <w:szCs w:val="24"/>
          <w:highlight w:val="yellow"/>
          <w:lang w:val="en-GB"/>
        </w:rPr>
        <w:t>; Ravallion, 2003</w:t>
      </w:r>
      <w:r>
        <w:rPr>
          <w:rFonts w:ascii="Times New Roman" w:hAnsi="Times New Roman" w:cs="Times New Roman"/>
          <w:sz w:val="24"/>
          <w:szCs w:val="24"/>
          <w:highlight w:val="yellow"/>
          <w:lang w:val="en-GB"/>
        </w:rPr>
        <w:t>)</w:t>
      </w:r>
      <w:r w:rsidR="00707A38" w:rsidRPr="00707A38">
        <w:rPr>
          <w:rFonts w:ascii="Times New Roman" w:hAnsi="Times New Roman" w:cs="Times New Roman"/>
          <w:sz w:val="24"/>
          <w:szCs w:val="24"/>
          <w:highlight w:val="yellow"/>
          <w:lang w:val="en-GB"/>
        </w:rPr>
        <w:t xml:space="preserve">. The efficiency estimated is the technical efficiency of the DMU under the production theory. </w:t>
      </w:r>
      <w:r>
        <w:rPr>
          <w:rFonts w:ascii="Times New Roman" w:hAnsi="Times New Roman" w:cs="Times New Roman"/>
          <w:sz w:val="24"/>
          <w:szCs w:val="24"/>
          <w:highlight w:val="yellow"/>
          <w:lang w:val="en-GB"/>
        </w:rPr>
        <w:t>The f</w:t>
      </w:r>
      <w:r w:rsidR="00707A38" w:rsidRPr="00707A38">
        <w:rPr>
          <w:rFonts w:ascii="Times New Roman" w:hAnsi="Times New Roman" w:cs="Times New Roman"/>
          <w:sz w:val="24"/>
          <w:szCs w:val="24"/>
          <w:highlight w:val="yellow"/>
          <w:lang w:val="en-GB"/>
        </w:rPr>
        <w:t>i</w:t>
      </w:r>
      <w:r>
        <w:rPr>
          <w:rFonts w:ascii="Times New Roman" w:hAnsi="Times New Roman" w:cs="Times New Roman"/>
          <w:sz w:val="24"/>
          <w:szCs w:val="24"/>
          <w:highlight w:val="yellow"/>
          <w:lang w:val="en-GB"/>
        </w:rPr>
        <w:t>rm's financial efficiency measures how well the MFI's generate revenues as the output</w:t>
      </w:r>
      <w:r w:rsidR="009250C0">
        <w:rPr>
          <w:rFonts w:ascii="Times New Roman" w:hAnsi="Times New Roman" w:cs="Times New Roman"/>
          <w:sz w:val="24"/>
          <w:szCs w:val="24"/>
          <w:highlight w:val="yellow"/>
          <w:lang w:val="en-GB"/>
        </w:rPr>
        <w:t>,</w:t>
      </w:r>
      <w:r>
        <w:rPr>
          <w:rFonts w:ascii="Times New Roman" w:hAnsi="Times New Roman" w:cs="Times New Roman"/>
          <w:sz w:val="24"/>
          <w:szCs w:val="24"/>
          <w:highlight w:val="yellow"/>
          <w:lang w:val="en-GB"/>
        </w:rPr>
        <w:t xml:space="preserve"> and the social efficiency measures</w:t>
      </w:r>
      <w:r w:rsidR="00707A38" w:rsidRPr="00707A38">
        <w:rPr>
          <w:rFonts w:ascii="Times New Roman" w:hAnsi="Times New Roman" w:cs="Times New Roman"/>
          <w:sz w:val="24"/>
          <w:szCs w:val="24"/>
          <w:highlight w:val="yellow"/>
          <w:lang w:val="en-GB"/>
        </w:rPr>
        <w:t xml:space="preserve"> </w:t>
      </w:r>
      <w:r w:rsidR="009250C0">
        <w:rPr>
          <w:rFonts w:ascii="Times New Roman" w:hAnsi="Times New Roman" w:cs="Times New Roman"/>
          <w:sz w:val="24"/>
          <w:szCs w:val="24"/>
          <w:highlight w:val="yellow"/>
          <w:lang w:val="en-GB"/>
        </w:rPr>
        <w:t xml:space="preserve">show </w:t>
      </w:r>
      <w:r w:rsidR="00707A38" w:rsidRPr="00707A38">
        <w:rPr>
          <w:rFonts w:ascii="Times New Roman" w:hAnsi="Times New Roman" w:cs="Times New Roman"/>
          <w:sz w:val="24"/>
          <w:szCs w:val="24"/>
          <w:highlight w:val="yellow"/>
          <w:lang w:val="en-GB"/>
        </w:rPr>
        <w:t xml:space="preserve">how </w:t>
      </w:r>
      <w:r>
        <w:rPr>
          <w:rFonts w:ascii="Times New Roman" w:hAnsi="Times New Roman" w:cs="Times New Roman"/>
          <w:sz w:val="24"/>
          <w:szCs w:val="24"/>
          <w:highlight w:val="yellow"/>
          <w:lang w:val="en-GB"/>
        </w:rPr>
        <w:t>w</w:t>
      </w:r>
      <w:r w:rsidR="00707A38" w:rsidRPr="00707A38">
        <w:rPr>
          <w:rFonts w:ascii="Times New Roman" w:hAnsi="Times New Roman" w:cs="Times New Roman"/>
          <w:sz w:val="24"/>
          <w:szCs w:val="24"/>
          <w:highlight w:val="yellow"/>
          <w:lang w:val="en-GB"/>
        </w:rPr>
        <w:t xml:space="preserve">ell the organisation is increasing the number of active borrowers. </w:t>
      </w:r>
    </w:p>
    <w:p w:rsidR="00707A38" w:rsidRPr="00707A38" w:rsidRDefault="00707A38" w:rsidP="00707A38">
      <w:pPr>
        <w:spacing w:after="200" w:line="480" w:lineRule="auto"/>
        <w:jc w:val="both"/>
        <w:rPr>
          <w:rFonts w:ascii="Times New Roman" w:hAnsi="Times New Roman" w:cs="Times New Roman"/>
          <w:sz w:val="24"/>
          <w:szCs w:val="24"/>
          <w:highlight w:val="yellow"/>
          <w:lang w:val="en-GB"/>
        </w:rPr>
      </w:pPr>
    </w:p>
    <w:p w:rsidR="00707A38" w:rsidRPr="00707A38" w:rsidRDefault="00707A38" w:rsidP="00707A38">
      <w:pPr>
        <w:spacing w:after="200" w:line="480" w:lineRule="auto"/>
        <w:jc w:val="both"/>
        <w:rPr>
          <w:rFonts w:ascii="Times New Roman" w:hAnsi="Times New Roman" w:cs="Times New Roman"/>
          <w:sz w:val="24"/>
          <w:szCs w:val="24"/>
          <w:highlight w:val="yellow"/>
          <w:lang w:val="en-GB"/>
        </w:rPr>
      </w:pPr>
    </w:p>
    <w:p w:rsidR="00707A38" w:rsidRPr="00707A38" w:rsidRDefault="00707A38" w:rsidP="00707A38">
      <w:pPr>
        <w:spacing w:after="200" w:line="480" w:lineRule="auto"/>
        <w:jc w:val="both"/>
        <w:rPr>
          <w:rFonts w:ascii="Times New Roman" w:hAnsi="Times New Roman" w:cs="Times New Roman"/>
          <w:sz w:val="24"/>
          <w:szCs w:val="24"/>
          <w:highlight w:val="yellow"/>
          <w:lang w:val="en-GB"/>
        </w:rPr>
      </w:pPr>
    </w:p>
    <w:p w:rsidR="00707A38" w:rsidRPr="00BB15B3" w:rsidRDefault="00773ABF" w:rsidP="00BB15B3">
      <w:pPr>
        <w:tabs>
          <w:tab w:val="left" w:pos="3544"/>
        </w:tabs>
        <w:spacing w:after="200" w:line="480" w:lineRule="auto"/>
        <w:jc w:val="both"/>
        <w:rPr>
          <w:rFonts w:ascii="Times New Roman" w:hAnsi="Times New Roman" w:cs="Times New Roman"/>
          <w:sz w:val="24"/>
          <w:szCs w:val="24"/>
        </w:rPr>
      </w:pPr>
      <w:r>
        <w:rPr>
          <w:rFonts w:ascii="Times New Roman" w:hAnsi="Times New Roman" w:cs="Times New Roman"/>
          <w:sz w:val="24"/>
          <w:szCs w:val="24"/>
          <w:highlight w:val="yellow"/>
          <w:lang w:val="en-GB"/>
        </w:rPr>
        <w:t>T</w:t>
      </w:r>
      <w:r w:rsidR="009E4B62" w:rsidRPr="00C9289E">
        <w:rPr>
          <w:rFonts w:ascii="Times New Roman" w:hAnsi="Times New Roman" w:cs="Times New Roman"/>
          <w:sz w:val="24"/>
          <w:szCs w:val="24"/>
          <w:highlight w:val="yellow"/>
          <w:lang w:val="en-GB"/>
        </w:rPr>
        <w:t>he</w:t>
      </w:r>
      <w:r>
        <w:rPr>
          <w:rFonts w:ascii="Times New Roman" w:hAnsi="Times New Roman" w:cs="Times New Roman"/>
          <w:sz w:val="24"/>
          <w:szCs w:val="24"/>
          <w:highlight w:val="yellow"/>
          <w:lang w:val="en-GB"/>
        </w:rPr>
        <w:t xml:space="preserve"> disclosure level is impacted</w:t>
      </w:r>
      <w:r w:rsidR="009E4B62" w:rsidRPr="00C9289E">
        <w:rPr>
          <w:rFonts w:ascii="Times New Roman" w:hAnsi="Times New Roman" w:cs="Times New Roman"/>
          <w:sz w:val="24"/>
          <w:szCs w:val="24"/>
          <w:highlight w:val="yellow"/>
          <w:lang w:val="en-GB"/>
        </w:rPr>
        <w:t xml:space="preserve"> by the firm's production efficiency (Baiman and Verrecchia1996). Studies also suggest that disclosure and social</w:t>
      </w:r>
      <w:r w:rsidR="00BB15B3">
        <w:rPr>
          <w:rFonts w:ascii="Times New Roman" w:hAnsi="Times New Roman" w:cs="Times New Roman"/>
          <w:sz w:val="24"/>
          <w:szCs w:val="24"/>
          <w:highlight w:val="yellow"/>
          <w:lang w:val="en-GB"/>
        </w:rPr>
        <w:t>-</w:t>
      </w:r>
      <w:r w:rsidR="009E4B62" w:rsidRPr="00C9289E">
        <w:rPr>
          <w:rFonts w:ascii="Times New Roman" w:hAnsi="Times New Roman" w:cs="Times New Roman"/>
          <w:sz w:val="24"/>
          <w:szCs w:val="24"/>
          <w:highlight w:val="yellow"/>
          <w:lang w:val="en-GB"/>
        </w:rPr>
        <w:t>technical efficiency have no association (Gutiérrez-Nieto et al.</w:t>
      </w:r>
      <w:r w:rsidR="00CC4AE9" w:rsidRPr="00C9289E">
        <w:rPr>
          <w:rFonts w:ascii="Times New Roman" w:hAnsi="Times New Roman" w:cs="Times New Roman"/>
          <w:sz w:val="24"/>
          <w:szCs w:val="24"/>
          <w:highlight w:val="yellow"/>
          <w:lang w:val="en-GB"/>
        </w:rPr>
        <w:t>,</w:t>
      </w:r>
      <w:r w:rsidR="009E4B62" w:rsidRPr="00C9289E">
        <w:rPr>
          <w:rFonts w:ascii="Times New Roman" w:hAnsi="Times New Roman" w:cs="Times New Roman"/>
          <w:sz w:val="24"/>
          <w:szCs w:val="24"/>
          <w:highlight w:val="yellow"/>
          <w:lang w:val="en-GB"/>
        </w:rPr>
        <w:t xml:space="preserve"> 2009). </w:t>
      </w:r>
      <w:r w:rsidR="009E4B62" w:rsidRPr="00C9289E">
        <w:rPr>
          <w:rFonts w:ascii="Times New Roman" w:hAnsi="Times New Roman" w:cs="Times New Roman"/>
          <w:sz w:val="24"/>
          <w:szCs w:val="24"/>
          <w:highlight w:val="yellow"/>
        </w:rPr>
        <w:t>This seems to be due to Friedman's style, which indicates that investors consider voluntary social responsibility activities to be wasteful</w:t>
      </w:r>
      <w:r w:rsidR="001F7F1C">
        <w:rPr>
          <w:rFonts w:ascii="Times New Roman" w:hAnsi="Times New Roman" w:cs="Times New Roman"/>
          <w:sz w:val="24"/>
          <w:szCs w:val="24"/>
          <w:highlight w:val="yellow"/>
        </w:rPr>
        <w:t xml:space="preserve">. </w:t>
      </w:r>
      <w:r w:rsidR="00CC4AE9" w:rsidRPr="00C9289E">
        <w:rPr>
          <w:rFonts w:ascii="Times New Roman" w:hAnsi="Times New Roman" w:cs="Times New Roman"/>
          <w:sz w:val="24"/>
          <w:szCs w:val="24"/>
          <w:highlight w:val="yellow"/>
        </w:rPr>
        <w:t xml:space="preserve">Some suggest association be negative due to uninformed investors </w:t>
      </w:r>
      <w:r w:rsidR="00707A38" w:rsidRPr="00C9289E">
        <w:rPr>
          <w:rFonts w:ascii="Times New Roman" w:hAnsi="Times New Roman" w:cs="Times New Roman"/>
          <w:sz w:val="24"/>
          <w:szCs w:val="24"/>
          <w:highlight w:val="yellow"/>
        </w:rPr>
        <w:t>(</w:t>
      </w:r>
      <w:r w:rsidR="00D00ED7">
        <w:rPr>
          <w:rFonts w:ascii="Times New Roman" w:hAnsi="Times New Roman" w:cs="Times New Roman"/>
          <w:sz w:val="24"/>
          <w:szCs w:val="24"/>
          <w:highlight w:val="yellow"/>
        </w:rPr>
        <w:t xml:space="preserve">Chen et al., 2014; </w:t>
      </w:r>
      <w:r w:rsidR="00707A38" w:rsidRPr="00C9289E">
        <w:rPr>
          <w:rFonts w:ascii="Times New Roman" w:hAnsi="Times New Roman" w:cs="Times New Roman"/>
          <w:sz w:val="24"/>
          <w:szCs w:val="24"/>
          <w:highlight w:val="yellow"/>
        </w:rPr>
        <w:t xml:space="preserve">Han et al., </w:t>
      </w:r>
      <w:r w:rsidR="00CC4AE9" w:rsidRPr="00C9289E">
        <w:rPr>
          <w:rFonts w:ascii="Times New Roman" w:hAnsi="Times New Roman" w:cs="Times New Roman"/>
          <w:sz w:val="24"/>
          <w:szCs w:val="24"/>
          <w:highlight w:val="yellow"/>
        </w:rPr>
        <w:t xml:space="preserve">2014; Goldstein and Yang 2018). </w:t>
      </w:r>
      <w:r w:rsidR="00707A38" w:rsidRPr="00C9289E">
        <w:rPr>
          <w:rFonts w:ascii="Times New Roman" w:hAnsi="Times New Roman" w:cs="Times New Roman"/>
          <w:sz w:val="24"/>
          <w:szCs w:val="24"/>
          <w:highlight w:val="yellow"/>
        </w:rPr>
        <w:t xml:space="preserve">Researchers found that economic performance </w:t>
      </w:r>
      <w:r w:rsidR="00707A38" w:rsidRPr="00707A38">
        <w:rPr>
          <w:rFonts w:ascii="Times New Roman" w:hAnsi="Times New Roman" w:cs="Times New Roman"/>
          <w:sz w:val="24"/>
          <w:szCs w:val="24"/>
          <w:highlight w:val="yellow"/>
        </w:rPr>
        <w:t xml:space="preserve">is found to have a negative </w:t>
      </w:r>
      <w:r w:rsidR="00707A38" w:rsidRPr="00C9289E">
        <w:rPr>
          <w:rFonts w:ascii="Times New Roman" w:hAnsi="Times New Roman" w:cs="Times New Roman"/>
          <w:sz w:val="24"/>
          <w:szCs w:val="24"/>
          <w:highlight w:val="yellow"/>
        </w:rPr>
        <w:t>association with the disclosures in the annual report (Ingram and Frazier, 1983</w:t>
      </w:r>
      <w:r w:rsidR="00CC4AE9" w:rsidRPr="00C9289E">
        <w:rPr>
          <w:rFonts w:ascii="Times New Roman" w:hAnsi="Times New Roman" w:cs="Times New Roman"/>
          <w:sz w:val="24"/>
          <w:szCs w:val="24"/>
          <w:highlight w:val="yellow"/>
        </w:rPr>
        <w:t>; Jaggi and Friedman 1982)</w:t>
      </w:r>
      <w:r w:rsidR="00707A38" w:rsidRPr="00C9289E">
        <w:rPr>
          <w:rFonts w:ascii="Times New Roman" w:hAnsi="Times New Roman" w:cs="Times New Roman"/>
          <w:sz w:val="24"/>
          <w:szCs w:val="24"/>
          <w:highlight w:val="yellow"/>
        </w:rPr>
        <w:t xml:space="preserve">. </w:t>
      </w:r>
      <w:r w:rsidR="00E75DAE" w:rsidRPr="00C9289E">
        <w:rPr>
          <w:rFonts w:ascii="Times New Roman" w:hAnsi="Times New Roman" w:cs="Times New Roman"/>
          <w:sz w:val="24"/>
          <w:szCs w:val="24"/>
          <w:highlight w:val="yellow"/>
        </w:rPr>
        <w:t xml:space="preserve">According to Ullman (1985), there is a negative </w:t>
      </w:r>
      <w:r w:rsidR="00BB15B3" w:rsidRPr="00C9289E">
        <w:rPr>
          <w:rFonts w:ascii="Times New Roman" w:hAnsi="Times New Roman" w:cs="Times New Roman"/>
          <w:sz w:val="24"/>
          <w:szCs w:val="24"/>
          <w:highlight w:val="yellow"/>
        </w:rPr>
        <w:t>association</w:t>
      </w:r>
      <w:r w:rsidR="00E75DAE" w:rsidRPr="00C9289E">
        <w:rPr>
          <w:rFonts w:ascii="Times New Roman" w:hAnsi="Times New Roman" w:cs="Times New Roman"/>
          <w:sz w:val="24"/>
          <w:szCs w:val="24"/>
          <w:highlight w:val="yellow"/>
        </w:rPr>
        <w:t xml:space="preserve"> </w:t>
      </w:r>
      <w:r w:rsidR="00BB15B3">
        <w:rPr>
          <w:rFonts w:ascii="Times New Roman" w:hAnsi="Times New Roman" w:cs="Times New Roman"/>
          <w:sz w:val="24"/>
          <w:szCs w:val="24"/>
          <w:highlight w:val="yellow"/>
        </w:rPr>
        <w:t>between</w:t>
      </w:r>
      <w:r w:rsidR="00E75DAE" w:rsidRPr="00C9289E">
        <w:rPr>
          <w:rFonts w:ascii="Times New Roman" w:hAnsi="Times New Roman" w:cs="Times New Roman"/>
          <w:sz w:val="24"/>
          <w:szCs w:val="24"/>
          <w:highlight w:val="yellow"/>
        </w:rPr>
        <w:t xml:space="preserve"> economic performance</w:t>
      </w:r>
      <w:r w:rsidR="00BB15B3">
        <w:rPr>
          <w:rFonts w:ascii="Times New Roman" w:hAnsi="Times New Roman" w:cs="Times New Roman"/>
          <w:sz w:val="24"/>
          <w:szCs w:val="24"/>
          <w:highlight w:val="yellow"/>
        </w:rPr>
        <w:t xml:space="preserve"> and </w:t>
      </w:r>
      <w:r w:rsidR="00BB15B3" w:rsidRPr="00C9289E">
        <w:rPr>
          <w:rFonts w:ascii="Times New Roman" w:hAnsi="Times New Roman" w:cs="Times New Roman"/>
          <w:sz w:val="24"/>
          <w:szCs w:val="24"/>
          <w:highlight w:val="yellow"/>
        </w:rPr>
        <w:t>social disclosure</w:t>
      </w:r>
      <w:r w:rsidR="00E75DAE" w:rsidRPr="00C9289E">
        <w:rPr>
          <w:rFonts w:ascii="Times New Roman" w:hAnsi="Times New Roman" w:cs="Times New Roman"/>
          <w:sz w:val="24"/>
          <w:szCs w:val="24"/>
          <w:highlight w:val="yellow"/>
        </w:rPr>
        <w:t>.</w:t>
      </w:r>
    </w:p>
    <w:p w:rsidR="009724F4" w:rsidRDefault="006B6354" w:rsidP="00707A38">
      <w:pPr>
        <w:spacing w:before="100" w:beforeAutospacing="1" w:after="100" w:afterAutospacing="1"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Charnes et al. (1978) suggested the </w:t>
      </w:r>
      <w:r w:rsidR="00951636" w:rsidRPr="00951636">
        <w:rPr>
          <w:rFonts w:ascii="Times New Roman" w:hAnsi="Times New Roman" w:cs="Times New Roman"/>
          <w:sz w:val="24"/>
          <w:szCs w:val="24"/>
          <w:lang w:val="en-US"/>
        </w:rPr>
        <w:t xml:space="preserve">Data Envelopment Analysis (DEA) </w:t>
      </w:r>
      <w:r>
        <w:rPr>
          <w:rFonts w:ascii="Times New Roman" w:hAnsi="Times New Roman" w:cs="Times New Roman"/>
          <w:sz w:val="24"/>
          <w:szCs w:val="24"/>
          <w:lang w:val="en-US"/>
        </w:rPr>
        <w:t xml:space="preserve">and defined that as </w:t>
      </w:r>
      <w:r w:rsidR="00951636" w:rsidRPr="00951636">
        <w:rPr>
          <w:rFonts w:ascii="Times New Roman" w:hAnsi="Times New Roman" w:cs="Times New Roman"/>
          <w:sz w:val="24"/>
          <w:szCs w:val="24"/>
          <w:lang w:val="en-US"/>
        </w:rPr>
        <w:t xml:space="preserve">a non-parametric technique used to measure </w:t>
      </w:r>
      <w:r w:rsidR="001A178F">
        <w:rPr>
          <w:rFonts w:ascii="Times New Roman" w:hAnsi="Times New Roman" w:cs="Times New Roman"/>
          <w:sz w:val="24"/>
          <w:szCs w:val="24"/>
          <w:lang w:val="en-US"/>
        </w:rPr>
        <w:t>the firm's efficiency</w:t>
      </w:r>
      <w:r w:rsidR="00951636" w:rsidRPr="00951636">
        <w:rPr>
          <w:rFonts w:ascii="Times New Roman" w:hAnsi="Times New Roman" w:cs="Times New Roman"/>
          <w:sz w:val="24"/>
          <w:szCs w:val="24"/>
          <w:lang w:val="en-US"/>
        </w:rPr>
        <w:t>.</w:t>
      </w:r>
      <w:r w:rsidR="003303E5">
        <w:rPr>
          <w:rFonts w:ascii="Times New Roman" w:hAnsi="Times New Roman" w:cs="Times New Roman"/>
          <w:sz w:val="24"/>
          <w:szCs w:val="24"/>
          <w:lang w:val="en-US"/>
        </w:rPr>
        <w:t xml:space="preserve"> </w:t>
      </w:r>
      <w:r w:rsidR="001A178F">
        <w:rPr>
          <w:rFonts w:ascii="Times New Roman" w:hAnsi="Times New Roman" w:cs="Times New Roman"/>
          <w:sz w:val="24"/>
          <w:szCs w:val="24"/>
          <w:lang w:val="en-US"/>
        </w:rPr>
        <w:t xml:space="preserve">The firms are known as decision-making units (DMU). An efficiency model which assumes constant returns to scale (CCR) can be applied to small sample sizes. The input and output-oriented models under the CCR model have the same efficiencies. </w:t>
      </w:r>
      <w:r w:rsidR="009475B4">
        <w:rPr>
          <w:rFonts w:ascii="Times New Roman" w:hAnsi="Times New Roman" w:cs="Times New Roman"/>
          <w:sz w:val="24"/>
          <w:szCs w:val="24"/>
          <w:lang w:val="en-US"/>
        </w:rPr>
        <w:t>For larger samples</w:t>
      </w:r>
      <w:r w:rsidR="00B85213">
        <w:rPr>
          <w:rFonts w:ascii="Times New Roman" w:hAnsi="Times New Roman" w:cs="Times New Roman"/>
          <w:sz w:val="24"/>
          <w:szCs w:val="24"/>
          <w:lang w:val="en-US"/>
        </w:rPr>
        <w:t>,</w:t>
      </w:r>
      <w:r w:rsidR="009475B4">
        <w:rPr>
          <w:rFonts w:ascii="Times New Roman" w:hAnsi="Times New Roman" w:cs="Times New Roman"/>
          <w:sz w:val="24"/>
          <w:szCs w:val="24"/>
          <w:lang w:val="en-US"/>
        </w:rPr>
        <w:t xml:space="preserve"> </w:t>
      </w:r>
      <w:r w:rsidR="001A178F">
        <w:rPr>
          <w:rFonts w:ascii="Times New Roman" w:hAnsi="Times New Roman" w:cs="Times New Roman"/>
          <w:sz w:val="24"/>
          <w:szCs w:val="24"/>
          <w:lang w:val="en-US"/>
        </w:rPr>
        <w:t>Banker et al. (1984) suggested another model called variable returns to scale (VRS),</w:t>
      </w:r>
      <w:r w:rsidR="00BD734A">
        <w:rPr>
          <w:rFonts w:ascii="Times New Roman" w:hAnsi="Times New Roman" w:cs="Times New Roman"/>
          <w:sz w:val="24"/>
          <w:szCs w:val="24"/>
          <w:lang w:val="en-US"/>
        </w:rPr>
        <w:t xml:space="preserve"> </w:t>
      </w:r>
      <w:r w:rsidR="009475B4">
        <w:rPr>
          <w:rFonts w:ascii="Times New Roman" w:hAnsi="Times New Roman" w:cs="Times New Roman"/>
          <w:sz w:val="24"/>
          <w:szCs w:val="24"/>
          <w:lang w:val="en-US"/>
        </w:rPr>
        <w:t xml:space="preserve">or </w:t>
      </w:r>
      <w:r w:rsidR="008B3978">
        <w:rPr>
          <w:rFonts w:ascii="Times New Roman" w:hAnsi="Times New Roman" w:cs="Times New Roman"/>
          <w:sz w:val="24"/>
          <w:szCs w:val="24"/>
          <w:lang w:val="en-US"/>
        </w:rPr>
        <w:t xml:space="preserve"> BCC model</w:t>
      </w:r>
      <w:r w:rsidR="00BD734A">
        <w:rPr>
          <w:rFonts w:ascii="Times New Roman" w:hAnsi="Times New Roman" w:cs="Times New Roman"/>
          <w:sz w:val="24"/>
          <w:szCs w:val="24"/>
          <w:lang w:val="en-US"/>
        </w:rPr>
        <w:t>.</w:t>
      </w:r>
      <w:r w:rsidR="009724F4">
        <w:rPr>
          <w:rFonts w:ascii="Times New Roman" w:hAnsi="Times New Roman" w:cs="Times New Roman"/>
          <w:sz w:val="24"/>
          <w:szCs w:val="24"/>
          <w:lang w:val="en-US"/>
        </w:rPr>
        <w:t xml:space="preserve"> The literature </w:t>
      </w:r>
      <w:r w:rsidR="00AC5AF0">
        <w:rPr>
          <w:rFonts w:ascii="Times New Roman" w:hAnsi="Times New Roman" w:cs="Times New Roman"/>
          <w:sz w:val="24"/>
          <w:szCs w:val="24"/>
          <w:lang w:val="en-US"/>
        </w:rPr>
        <w:t>indicate</w:t>
      </w:r>
      <w:r w:rsidR="00227D38">
        <w:rPr>
          <w:rFonts w:ascii="Times New Roman" w:hAnsi="Times New Roman" w:cs="Times New Roman"/>
          <w:sz w:val="24"/>
          <w:szCs w:val="24"/>
          <w:lang w:val="en-US"/>
        </w:rPr>
        <w:t xml:space="preserve">s that MFI efficiency estimation has used multiple DEA models like BCC models, technical efficiency, cost efficiency </w:t>
      </w:r>
      <w:r w:rsidR="009724F4">
        <w:rPr>
          <w:rFonts w:ascii="Times New Roman" w:hAnsi="Times New Roman" w:cs="Times New Roman"/>
          <w:sz w:val="24"/>
          <w:szCs w:val="24"/>
          <w:lang w:val="en-US"/>
        </w:rPr>
        <w:t xml:space="preserve">(Battese &amp; Coelli </w:t>
      </w:r>
      <w:r w:rsidR="009724F4" w:rsidRPr="00707A38">
        <w:rPr>
          <w:rFonts w:ascii="Times New Roman" w:hAnsi="Times New Roman" w:cs="Times New Roman"/>
          <w:sz w:val="24"/>
          <w:szCs w:val="24"/>
          <w:lang w:val="en-US"/>
        </w:rPr>
        <w:t>1995)</w:t>
      </w:r>
      <w:r w:rsidR="00227D38">
        <w:rPr>
          <w:rFonts w:ascii="Times New Roman" w:hAnsi="Times New Roman" w:cs="Times New Roman"/>
          <w:sz w:val="24"/>
          <w:szCs w:val="24"/>
          <w:lang w:val="en-US"/>
        </w:rPr>
        <w:t xml:space="preserve">. Technical efficiency will measure the efficiency of the DMU, covering its costing models and its best practices. The variables used to estimate </w:t>
      </w:r>
      <w:r w:rsidR="0002163C">
        <w:rPr>
          <w:rFonts w:ascii="Times New Roman" w:hAnsi="Times New Roman" w:cs="Times New Roman"/>
          <w:sz w:val="24"/>
          <w:szCs w:val="24"/>
          <w:lang w:val="en-US"/>
        </w:rPr>
        <w:t xml:space="preserve">the efficiency of a DMU need to be identified and categorized as inputs and outputs. </w:t>
      </w:r>
    </w:p>
    <w:p w:rsidR="00707A38" w:rsidRPr="00B80F01" w:rsidRDefault="00707A38" w:rsidP="00B80F01">
      <w:pPr>
        <w:pStyle w:val="ListParagraph"/>
        <w:numPr>
          <w:ilvl w:val="1"/>
          <w:numId w:val="16"/>
        </w:numPr>
        <w:spacing w:after="200" w:line="480" w:lineRule="auto"/>
        <w:jc w:val="both"/>
        <w:rPr>
          <w:rFonts w:ascii="Times New Roman" w:hAnsi="Times New Roman" w:cs="Times New Roman"/>
          <w:b/>
          <w:sz w:val="24"/>
          <w:szCs w:val="24"/>
          <w:highlight w:val="yellow"/>
          <w:shd w:val="clear" w:color="auto" w:fill="FFFFFF"/>
        </w:rPr>
      </w:pPr>
      <w:r w:rsidRPr="00B80F01">
        <w:rPr>
          <w:rFonts w:ascii="Times New Roman" w:hAnsi="Times New Roman" w:cs="Times New Roman"/>
          <w:b/>
          <w:sz w:val="24"/>
          <w:szCs w:val="24"/>
          <w:highlight w:val="yellow"/>
          <w:shd w:val="clear" w:color="auto" w:fill="FFFFFF"/>
        </w:rPr>
        <w:t>Research Gap</w:t>
      </w:r>
    </w:p>
    <w:p w:rsidR="00A30DA5" w:rsidRDefault="00871559" w:rsidP="00707A38">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existing</w:t>
      </w:r>
      <w:r w:rsidR="00E17924">
        <w:rPr>
          <w:rFonts w:ascii="Times New Roman" w:hAnsi="Times New Roman" w:cs="Times New Roman"/>
          <w:sz w:val="24"/>
          <w:szCs w:val="24"/>
          <w:lang w:val="en-US"/>
        </w:rPr>
        <w:t xml:space="preserve"> literature revolves </w:t>
      </w:r>
      <w:r>
        <w:rPr>
          <w:rFonts w:ascii="Times New Roman" w:hAnsi="Times New Roman" w:cs="Times New Roman"/>
          <w:sz w:val="24"/>
          <w:szCs w:val="24"/>
          <w:lang w:val="en-US"/>
        </w:rPr>
        <w:t xml:space="preserve">around the voluntary disclosure </w:t>
      </w:r>
      <w:r w:rsidR="00CB1137">
        <w:rPr>
          <w:rFonts w:ascii="Times New Roman" w:hAnsi="Times New Roman" w:cs="Times New Roman"/>
          <w:sz w:val="24"/>
          <w:szCs w:val="24"/>
          <w:lang w:val="en-US"/>
        </w:rPr>
        <w:t>dimensions and the determinants</w:t>
      </w:r>
      <w:r w:rsidR="004B389A">
        <w:rPr>
          <w:rFonts w:ascii="Times New Roman" w:hAnsi="Times New Roman" w:cs="Times New Roman"/>
          <w:sz w:val="24"/>
          <w:szCs w:val="24"/>
          <w:lang w:val="en-US"/>
        </w:rPr>
        <w:t xml:space="preserve"> (</w:t>
      </w:r>
      <w:r w:rsidR="005C0B1E" w:rsidRPr="005C0B1E">
        <w:rPr>
          <w:rFonts w:ascii="Times New Roman" w:hAnsi="Times New Roman" w:cs="Times New Roman"/>
          <w:sz w:val="24"/>
          <w:szCs w:val="24"/>
          <w:lang w:val="en-US"/>
        </w:rPr>
        <w:t>Verrecchia</w:t>
      </w:r>
      <w:r w:rsidR="005C0B1E">
        <w:rPr>
          <w:rFonts w:ascii="Times New Roman" w:hAnsi="Times New Roman" w:cs="Times New Roman"/>
          <w:sz w:val="24"/>
          <w:szCs w:val="24"/>
          <w:lang w:val="en-US"/>
        </w:rPr>
        <w:t xml:space="preserve">, 1983; </w:t>
      </w:r>
      <w:r w:rsidR="004B389A">
        <w:rPr>
          <w:rFonts w:ascii="Times New Roman" w:hAnsi="Times New Roman" w:cs="Times New Roman"/>
          <w:sz w:val="24"/>
          <w:szCs w:val="24"/>
          <w:lang w:val="en-US"/>
        </w:rPr>
        <w:t>Boessao and Kumar, 2007)</w:t>
      </w:r>
      <w:r>
        <w:rPr>
          <w:rFonts w:ascii="Times New Roman" w:hAnsi="Times New Roman" w:cs="Times New Roman"/>
          <w:sz w:val="24"/>
          <w:szCs w:val="24"/>
          <w:lang w:val="en-US"/>
        </w:rPr>
        <w:t xml:space="preserve">, </w:t>
      </w:r>
      <w:r w:rsidR="00CB1137">
        <w:rPr>
          <w:rFonts w:ascii="Times New Roman" w:hAnsi="Times New Roman" w:cs="Times New Roman"/>
          <w:sz w:val="24"/>
          <w:szCs w:val="24"/>
          <w:lang w:val="en-US"/>
        </w:rPr>
        <w:t xml:space="preserve">the </w:t>
      </w:r>
      <w:r w:rsidR="00DD68A2">
        <w:rPr>
          <w:rFonts w:ascii="Times New Roman" w:hAnsi="Times New Roman" w:cs="Times New Roman"/>
          <w:sz w:val="24"/>
          <w:szCs w:val="24"/>
          <w:lang w:val="en-US"/>
        </w:rPr>
        <w:t>disclosure</w:t>
      </w:r>
      <w:r w:rsidR="001078CF">
        <w:rPr>
          <w:rFonts w:ascii="Times New Roman" w:hAnsi="Times New Roman" w:cs="Times New Roman"/>
          <w:sz w:val="24"/>
          <w:szCs w:val="24"/>
          <w:lang w:val="en-US"/>
        </w:rPr>
        <w:t xml:space="preserve"> </w:t>
      </w:r>
      <w:r w:rsidR="00CB1137">
        <w:rPr>
          <w:rFonts w:ascii="Times New Roman" w:hAnsi="Times New Roman" w:cs="Times New Roman"/>
          <w:sz w:val="24"/>
          <w:szCs w:val="24"/>
          <w:lang w:val="en-US"/>
        </w:rPr>
        <w:t xml:space="preserve">index, </w:t>
      </w:r>
      <w:r w:rsidR="001078CF">
        <w:rPr>
          <w:rFonts w:ascii="Times New Roman" w:hAnsi="Times New Roman" w:cs="Times New Roman"/>
          <w:sz w:val="24"/>
          <w:szCs w:val="24"/>
          <w:lang w:val="en-US"/>
        </w:rPr>
        <w:t xml:space="preserve">and </w:t>
      </w:r>
      <w:r w:rsidR="00CB1137">
        <w:rPr>
          <w:rFonts w:ascii="Times New Roman" w:hAnsi="Times New Roman" w:cs="Times New Roman"/>
          <w:sz w:val="24"/>
          <w:szCs w:val="24"/>
          <w:lang w:val="en-US"/>
        </w:rPr>
        <w:t>efficiency estimation</w:t>
      </w:r>
      <w:r w:rsidR="00E17924">
        <w:rPr>
          <w:rFonts w:ascii="Times New Roman" w:hAnsi="Times New Roman" w:cs="Times New Roman"/>
          <w:sz w:val="24"/>
          <w:szCs w:val="24"/>
          <w:lang w:val="en-US"/>
        </w:rPr>
        <w:t xml:space="preserve">. </w:t>
      </w:r>
      <w:r w:rsidR="00813353">
        <w:rPr>
          <w:rFonts w:ascii="Times New Roman" w:hAnsi="Times New Roman" w:cs="Times New Roman"/>
          <w:sz w:val="24"/>
          <w:szCs w:val="24"/>
          <w:lang w:val="en-US"/>
        </w:rPr>
        <w:t xml:space="preserve">First, the gaps identified are </w:t>
      </w:r>
      <w:r w:rsidR="00E17924">
        <w:rPr>
          <w:rFonts w:ascii="Times New Roman" w:hAnsi="Times New Roman" w:cs="Times New Roman"/>
          <w:sz w:val="24"/>
          <w:szCs w:val="24"/>
          <w:lang w:val="en-US"/>
        </w:rPr>
        <w:t>a</w:t>
      </w:r>
      <w:r w:rsidR="0047109B">
        <w:rPr>
          <w:rFonts w:ascii="Times New Roman" w:hAnsi="Times New Roman" w:cs="Times New Roman"/>
          <w:sz w:val="24"/>
          <w:szCs w:val="24"/>
          <w:lang w:val="en-US"/>
        </w:rPr>
        <w:t>n absence</w:t>
      </w:r>
      <w:r w:rsidR="00E17924">
        <w:rPr>
          <w:rFonts w:ascii="Times New Roman" w:hAnsi="Times New Roman" w:cs="Times New Roman"/>
          <w:sz w:val="24"/>
          <w:szCs w:val="24"/>
          <w:lang w:val="en-US"/>
        </w:rPr>
        <w:t xml:space="preserve"> of </w:t>
      </w:r>
      <w:r w:rsidR="0047109B">
        <w:rPr>
          <w:rFonts w:ascii="Times New Roman" w:hAnsi="Times New Roman" w:cs="Times New Roman"/>
          <w:sz w:val="24"/>
          <w:szCs w:val="24"/>
          <w:lang w:val="en-US"/>
        </w:rPr>
        <w:t>VD</w:t>
      </w:r>
      <w:r w:rsidR="00E17924">
        <w:rPr>
          <w:rFonts w:ascii="Times New Roman" w:hAnsi="Times New Roman" w:cs="Times New Roman"/>
          <w:sz w:val="24"/>
          <w:szCs w:val="24"/>
          <w:lang w:val="en-US"/>
        </w:rPr>
        <w:t xml:space="preserve"> studies in the micro</w:t>
      </w:r>
      <w:r w:rsidR="001078CF">
        <w:rPr>
          <w:rFonts w:ascii="Times New Roman" w:hAnsi="Times New Roman" w:cs="Times New Roman"/>
          <w:sz w:val="24"/>
          <w:szCs w:val="24"/>
          <w:lang w:val="en-US"/>
        </w:rPr>
        <w:t>-</w:t>
      </w:r>
      <w:r w:rsidR="00E17924">
        <w:rPr>
          <w:rFonts w:ascii="Times New Roman" w:hAnsi="Times New Roman" w:cs="Times New Roman"/>
          <w:sz w:val="24"/>
          <w:szCs w:val="24"/>
          <w:lang w:val="en-US"/>
        </w:rPr>
        <w:t xml:space="preserve">financial sector </w:t>
      </w:r>
      <w:r w:rsidR="00767EA6" w:rsidRPr="00767EA6">
        <w:rPr>
          <w:rFonts w:ascii="Times New Roman" w:hAnsi="Times New Roman" w:cs="Times New Roman"/>
          <w:sz w:val="24"/>
          <w:szCs w:val="24"/>
          <w:lang w:val="en-US"/>
        </w:rPr>
        <w:t xml:space="preserve">and no </w:t>
      </w:r>
      <w:r w:rsidR="00CE0C43">
        <w:rPr>
          <w:rFonts w:ascii="Times New Roman" w:hAnsi="Times New Roman" w:cs="Times New Roman"/>
          <w:sz w:val="24"/>
          <w:szCs w:val="24"/>
          <w:lang w:val="en-US"/>
        </w:rPr>
        <w:t xml:space="preserve">research </w:t>
      </w:r>
      <w:r w:rsidR="00767EA6" w:rsidRPr="00767EA6">
        <w:rPr>
          <w:rFonts w:ascii="Times New Roman" w:hAnsi="Times New Roman" w:cs="Times New Roman"/>
          <w:sz w:val="24"/>
          <w:szCs w:val="24"/>
          <w:lang w:val="en-US"/>
        </w:rPr>
        <w:t>on the Indian NBFC-MFI sector.</w:t>
      </w:r>
      <w:r w:rsidR="00C719A1">
        <w:rPr>
          <w:rFonts w:ascii="Times New Roman" w:hAnsi="Times New Roman" w:cs="Times New Roman"/>
          <w:sz w:val="24"/>
          <w:szCs w:val="24"/>
          <w:lang w:val="en-US"/>
        </w:rPr>
        <w:t xml:space="preserve"> </w:t>
      </w:r>
      <w:r w:rsidR="00CE0C43" w:rsidRPr="00CE0C43">
        <w:rPr>
          <w:rFonts w:ascii="Times New Roman" w:hAnsi="Times New Roman" w:cs="Times New Roman"/>
          <w:sz w:val="24"/>
          <w:szCs w:val="24"/>
          <w:lang w:val="en-US"/>
        </w:rPr>
        <w:t xml:space="preserve">Second, </w:t>
      </w:r>
      <w:r w:rsidR="00B30C14">
        <w:rPr>
          <w:rFonts w:ascii="Times New Roman" w:hAnsi="Times New Roman" w:cs="Times New Roman"/>
          <w:sz w:val="24"/>
          <w:szCs w:val="24"/>
          <w:lang w:val="en-US"/>
        </w:rPr>
        <w:t xml:space="preserve">the </w:t>
      </w:r>
      <w:r w:rsidR="001078CF">
        <w:rPr>
          <w:rFonts w:ascii="Times New Roman" w:hAnsi="Times New Roman" w:cs="Times New Roman"/>
          <w:sz w:val="24"/>
          <w:szCs w:val="24"/>
          <w:lang w:val="en-US"/>
        </w:rPr>
        <w:t>current</w:t>
      </w:r>
      <w:r w:rsidR="00B30C14">
        <w:rPr>
          <w:rFonts w:ascii="Times New Roman" w:hAnsi="Times New Roman" w:cs="Times New Roman"/>
          <w:sz w:val="24"/>
          <w:szCs w:val="24"/>
          <w:lang w:val="en-US"/>
        </w:rPr>
        <w:t xml:space="preserve"> study considered </w:t>
      </w:r>
      <w:r w:rsidR="001078CF">
        <w:rPr>
          <w:rFonts w:ascii="Times New Roman" w:hAnsi="Times New Roman" w:cs="Times New Roman"/>
          <w:sz w:val="24"/>
          <w:szCs w:val="24"/>
          <w:lang w:val="en-US"/>
        </w:rPr>
        <w:t xml:space="preserve">the </w:t>
      </w:r>
      <w:r w:rsidR="00B30C14">
        <w:rPr>
          <w:rFonts w:ascii="Times New Roman" w:hAnsi="Times New Roman" w:cs="Times New Roman"/>
          <w:sz w:val="24"/>
          <w:szCs w:val="24"/>
          <w:lang w:val="en-US"/>
        </w:rPr>
        <w:t>MIX market index for the disclosure studies</w:t>
      </w:r>
      <w:r w:rsidR="00CE0C43" w:rsidRPr="00CE0C43">
        <w:rPr>
          <w:rFonts w:ascii="Times New Roman" w:hAnsi="Times New Roman" w:cs="Times New Roman"/>
          <w:sz w:val="24"/>
          <w:szCs w:val="24"/>
          <w:lang w:val="en-US"/>
        </w:rPr>
        <w:t xml:space="preserve"> in the microfinance sector</w:t>
      </w:r>
      <w:r w:rsidR="00B30C14">
        <w:rPr>
          <w:rFonts w:ascii="Times New Roman" w:hAnsi="Times New Roman" w:cs="Times New Roman"/>
          <w:sz w:val="24"/>
          <w:szCs w:val="24"/>
          <w:lang w:val="en-US"/>
        </w:rPr>
        <w:t>,</w:t>
      </w:r>
      <w:r w:rsidR="00CE0C43" w:rsidRPr="00CE0C43">
        <w:rPr>
          <w:rFonts w:ascii="Times New Roman" w:hAnsi="Times New Roman" w:cs="Times New Roman"/>
          <w:sz w:val="24"/>
          <w:szCs w:val="24"/>
          <w:lang w:val="en-US"/>
        </w:rPr>
        <w:t xml:space="preserve"> which can suffer from selection </w:t>
      </w:r>
      <w:r w:rsidR="00CE0C43">
        <w:rPr>
          <w:rFonts w:ascii="Times New Roman" w:hAnsi="Times New Roman" w:cs="Times New Roman"/>
          <w:sz w:val="24"/>
          <w:szCs w:val="24"/>
          <w:lang w:val="en-US"/>
        </w:rPr>
        <w:t>bias self</w:t>
      </w:r>
      <w:r w:rsidR="005C6AFB">
        <w:rPr>
          <w:rFonts w:ascii="Times New Roman" w:hAnsi="Times New Roman" w:cs="Times New Roman"/>
          <w:sz w:val="24"/>
          <w:szCs w:val="24"/>
          <w:lang w:val="en-US"/>
        </w:rPr>
        <w:t>-</w:t>
      </w:r>
      <w:r w:rsidR="00CE0C43">
        <w:rPr>
          <w:rFonts w:ascii="Times New Roman" w:hAnsi="Times New Roman" w:cs="Times New Roman"/>
          <w:sz w:val="24"/>
          <w:szCs w:val="24"/>
          <w:lang w:val="en-US"/>
        </w:rPr>
        <w:t>constructed indices not available for MFIs</w:t>
      </w:r>
      <w:r w:rsidR="00CE0C43" w:rsidRPr="00CE0C43">
        <w:rPr>
          <w:rFonts w:ascii="Times New Roman" w:hAnsi="Times New Roman" w:cs="Times New Roman"/>
          <w:sz w:val="24"/>
          <w:szCs w:val="24"/>
          <w:lang w:val="en-US"/>
        </w:rPr>
        <w:t>.</w:t>
      </w:r>
      <w:r w:rsidR="00707A38" w:rsidRPr="00707A38">
        <w:rPr>
          <w:rFonts w:ascii="Times New Roman" w:hAnsi="Times New Roman" w:cs="Times New Roman"/>
          <w:sz w:val="24"/>
          <w:szCs w:val="24"/>
          <w:highlight w:val="yellow"/>
          <w:lang w:val="en-US"/>
        </w:rPr>
        <w:t xml:space="preserve"> There are </w:t>
      </w:r>
      <w:r w:rsidR="005C6AFB">
        <w:rPr>
          <w:rFonts w:ascii="Times New Roman" w:hAnsi="Times New Roman" w:cs="Times New Roman"/>
          <w:sz w:val="24"/>
          <w:szCs w:val="24"/>
          <w:highlight w:val="yellow"/>
          <w:lang w:val="en-US"/>
        </w:rPr>
        <w:t>significantl</w:t>
      </w:r>
      <w:r w:rsidR="00707A38" w:rsidRPr="00707A38">
        <w:rPr>
          <w:rFonts w:ascii="Times New Roman" w:hAnsi="Times New Roman" w:cs="Times New Roman"/>
          <w:sz w:val="24"/>
          <w:szCs w:val="24"/>
          <w:highlight w:val="yellow"/>
          <w:lang w:val="en-US"/>
        </w:rPr>
        <w:t xml:space="preserve">y </w:t>
      </w:r>
      <w:r w:rsidR="005C6AFB">
        <w:rPr>
          <w:rFonts w:ascii="Times New Roman" w:hAnsi="Times New Roman" w:cs="Times New Roman"/>
          <w:sz w:val="24"/>
          <w:szCs w:val="24"/>
          <w:highlight w:val="yellow"/>
          <w:lang w:val="en-US"/>
        </w:rPr>
        <w:t>fewer</w:t>
      </w:r>
      <w:r w:rsidR="00707A38" w:rsidRPr="00707A38">
        <w:rPr>
          <w:rFonts w:ascii="Times New Roman" w:hAnsi="Times New Roman" w:cs="Times New Roman"/>
          <w:sz w:val="24"/>
          <w:szCs w:val="24"/>
          <w:highlight w:val="yellow"/>
          <w:lang w:val="en-US"/>
        </w:rPr>
        <w:t xml:space="preserve"> studies exploring the association </w:t>
      </w:r>
      <w:r w:rsidR="005C6AFB">
        <w:rPr>
          <w:rFonts w:ascii="Times New Roman" w:hAnsi="Times New Roman" w:cs="Times New Roman"/>
          <w:sz w:val="24"/>
          <w:szCs w:val="24"/>
          <w:highlight w:val="yellow"/>
          <w:lang w:val="en-US"/>
        </w:rPr>
        <w:t>between</w:t>
      </w:r>
      <w:r w:rsidR="00707A38" w:rsidRPr="00707A38">
        <w:rPr>
          <w:rFonts w:ascii="Times New Roman" w:hAnsi="Times New Roman" w:cs="Times New Roman"/>
          <w:sz w:val="24"/>
          <w:szCs w:val="24"/>
          <w:highlight w:val="yellow"/>
          <w:lang w:val="en-US"/>
        </w:rPr>
        <w:t xml:space="preserve"> performance and voluntary disclosure. In addition</w:t>
      </w:r>
      <w:r w:rsidR="005C6AFB">
        <w:rPr>
          <w:rFonts w:ascii="Times New Roman" w:hAnsi="Times New Roman" w:cs="Times New Roman"/>
          <w:sz w:val="24"/>
          <w:szCs w:val="24"/>
          <w:highlight w:val="yellow"/>
          <w:lang w:val="en-US"/>
        </w:rPr>
        <w:t>,</w:t>
      </w:r>
      <w:r w:rsidR="00707A38" w:rsidRPr="00707A38">
        <w:rPr>
          <w:rFonts w:ascii="Times New Roman" w:hAnsi="Times New Roman" w:cs="Times New Roman"/>
          <w:sz w:val="24"/>
          <w:szCs w:val="24"/>
          <w:highlight w:val="yellow"/>
          <w:lang w:val="en-US"/>
        </w:rPr>
        <w:t xml:space="preserve"> va</w:t>
      </w:r>
      <w:r w:rsidR="005C6AFB">
        <w:rPr>
          <w:rFonts w:ascii="Times New Roman" w:hAnsi="Times New Roman" w:cs="Times New Roman"/>
          <w:sz w:val="24"/>
          <w:szCs w:val="24"/>
          <w:highlight w:val="yellow"/>
          <w:lang w:val="en-US"/>
        </w:rPr>
        <w:t>r</w:t>
      </w:r>
      <w:r w:rsidR="00707A38" w:rsidRPr="00707A38">
        <w:rPr>
          <w:rFonts w:ascii="Times New Roman" w:hAnsi="Times New Roman" w:cs="Times New Roman"/>
          <w:sz w:val="24"/>
          <w:szCs w:val="24"/>
          <w:highlight w:val="yellow"/>
          <w:lang w:val="en-US"/>
        </w:rPr>
        <w:t>ious accounting measures were used to measure the performance</w:t>
      </w:r>
      <w:r w:rsidR="005C6AFB">
        <w:rPr>
          <w:rFonts w:ascii="Times New Roman" w:hAnsi="Times New Roman" w:cs="Times New Roman"/>
          <w:sz w:val="24"/>
          <w:szCs w:val="24"/>
          <w:highlight w:val="yellow"/>
          <w:lang w:val="en-US"/>
        </w:rPr>
        <w:t>,</w:t>
      </w:r>
      <w:r w:rsidR="00707A38" w:rsidRPr="00707A38">
        <w:rPr>
          <w:rFonts w:ascii="Times New Roman" w:hAnsi="Times New Roman" w:cs="Times New Roman"/>
          <w:sz w:val="24"/>
          <w:szCs w:val="24"/>
          <w:highlight w:val="yellow"/>
          <w:lang w:val="en-US"/>
        </w:rPr>
        <w:t xml:space="preserve"> which was criticized</w:t>
      </w:r>
      <w:r w:rsidR="005C6AFB">
        <w:rPr>
          <w:rFonts w:ascii="Times New Roman" w:hAnsi="Times New Roman" w:cs="Times New Roman"/>
          <w:sz w:val="24"/>
          <w:szCs w:val="24"/>
          <w:highlight w:val="yellow"/>
          <w:lang w:val="en-US"/>
        </w:rPr>
        <w:t>,</w:t>
      </w:r>
      <w:r w:rsidR="00707A38" w:rsidRPr="00707A38">
        <w:rPr>
          <w:rFonts w:ascii="Times New Roman" w:hAnsi="Times New Roman" w:cs="Times New Roman"/>
          <w:sz w:val="24"/>
          <w:szCs w:val="24"/>
          <w:highlight w:val="yellow"/>
          <w:lang w:val="en-US"/>
        </w:rPr>
        <w:t xml:space="preserve"> and therefore, efficiency as an indicator can be researched meeting the dual objectives of the microfinance institutions.</w:t>
      </w:r>
      <w:r w:rsidR="00707A38" w:rsidRPr="00707A38">
        <w:rPr>
          <w:rFonts w:ascii="Times New Roman" w:hAnsi="Times New Roman" w:cs="Times New Roman"/>
          <w:sz w:val="24"/>
          <w:szCs w:val="24"/>
          <w:lang w:val="en-US"/>
        </w:rPr>
        <w:t xml:space="preserve"> </w:t>
      </w:r>
      <w:r w:rsidR="00A30DA5" w:rsidRPr="00A30DA5">
        <w:rPr>
          <w:rFonts w:ascii="Times New Roman" w:hAnsi="Times New Roman" w:cs="Times New Roman"/>
          <w:sz w:val="24"/>
          <w:szCs w:val="24"/>
          <w:lang w:val="en-US"/>
        </w:rPr>
        <w:t xml:space="preserve">As a result, the current study attempts to test the </w:t>
      </w:r>
      <w:r w:rsidR="00A30DA5">
        <w:rPr>
          <w:rFonts w:ascii="Times New Roman" w:hAnsi="Times New Roman" w:cs="Times New Roman"/>
          <w:sz w:val="24"/>
          <w:szCs w:val="24"/>
          <w:lang w:val="en-US"/>
        </w:rPr>
        <w:t>association</w:t>
      </w:r>
      <w:r w:rsidR="00A30DA5" w:rsidRPr="00A30DA5">
        <w:rPr>
          <w:rFonts w:ascii="Times New Roman" w:hAnsi="Times New Roman" w:cs="Times New Roman"/>
          <w:sz w:val="24"/>
          <w:szCs w:val="24"/>
          <w:lang w:val="en-US"/>
        </w:rPr>
        <w:t xml:space="preserve"> between </w:t>
      </w:r>
      <w:r w:rsidR="00A30DA5">
        <w:rPr>
          <w:rFonts w:ascii="Times New Roman" w:hAnsi="Times New Roman" w:cs="Times New Roman"/>
          <w:sz w:val="24"/>
          <w:szCs w:val="24"/>
          <w:lang w:val="en-US"/>
        </w:rPr>
        <w:t xml:space="preserve">efficiency and voluntary disclosures. </w:t>
      </w:r>
    </w:p>
    <w:p w:rsidR="00707A38" w:rsidRPr="00707A38" w:rsidRDefault="00E80F66" w:rsidP="00707A38">
      <w:pPr>
        <w:spacing w:after="200"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H</w:t>
      </w:r>
      <w:r w:rsidR="00707A38" w:rsidRPr="00E80F66">
        <w:rPr>
          <w:rFonts w:ascii="Times New Roman" w:hAnsi="Times New Roman" w:cs="Times New Roman"/>
          <w:i/>
          <w:sz w:val="24"/>
          <w:szCs w:val="24"/>
          <w:vertAlign w:val="subscript"/>
          <w:lang w:val="en-US"/>
        </w:rPr>
        <w:t>1</w:t>
      </w:r>
      <w:r w:rsidR="00707A38" w:rsidRPr="00707A38">
        <w:rPr>
          <w:rFonts w:ascii="Times New Roman" w:hAnsi="Times New Roman" w:cs="Times New Roman"/>
          <w:i/>
          <w:sz w:val="24"/>
          <w:szCs w:val="24"/>
          <w:lang w:val="en-US"/>
        </w:rPr>
        <w:t xml:space="preserve">: </w:t>
      </w:r>
      <w:r w:rsidR="004A7ED0">
        <w:rPr>
          <w:rFonts w:ascii="Times New Roman" w:hAnsi="Times New Roman" w:cs="Times New Roman"/>
          <w:i/>
          <w:sz w:val="24"/>
          <w:szCs w:val="24"/>
          <w:lang w:val="en-US"/>
        </w:rPr>
        <w:t>V</w:t>
      </w:r>
      <w:r w:rsidR="00B863AA">
        <w:rPr>
          <w:rFonts w:ascii="Times New Roman" w:hAnsi="Times New Roman" w:cs="Times New Roman"/>
          <w:i/>
          <w:sz w:val="24"/>
          <w:szCs w:val="24"/>
          <w:lang w:val="en-US"/>
        </w:rPr>
        <w:t>oluntary disclosure</w:t>
      </w:r>
      <w:r w:rsidR="004A7ED0">
        <w:rPr>
          <w:rFonts w:ascii="Times New Roman" w:hAnsi="Times New Roman" w:cs="Times New Roman"/>
          <w:i/>
          <w:sz w:val="24"/>
          <w:szCs w:val="24"/>
          <w:lang w:val="en-US"/>
        </w:rPr>
        <w:t xml:space="preserve"> of the firm</w:t>
      </w:r>
      <w:r w:rsidR="00B863AA">
        <w:rPr>
          <w:rFonts w:ascii="Times New Roman" w:hAnsi="Times New Roman" w:cs="Times New Roman"/>
          <w:i/>
          <w:sz w:val="24"/>
          <w:szCs w:val="24"/>
          <w:lang w:val="en-US"/>
        </w:rPr>
        <w:t xml:space="preserve"> is significantly associated </w:t>
      </w:r>
      <w:r w:rsidR="007C27BB">
        <w:rPr>
          <w:rFonts w:ascii="Times New Roman" w:hAnsi="Times New Roman" w:cs="Times New Roman"/>
          <w:i/>
          <w:sz w:val="24"/>
          <w:szCs w:val="24"/>
          <w:lang w:val="en-US"/>
        </w:rPr>
        <w:t>with</w:t>
      </w:r>
      <w:r w:rsidR="00B863AA">
        <w:rPr>
          <w:rFonts w:ascii="Times New Roman" w:hAnsi="Times New Roman" w:cs="Times New Roman"/>
          <w:i/>
          <w:sz w:val="24"/>
          <w:szCs w:val="24"/>
          <w:lang w:val="en-US"/>
        </w:rPr>
        <w:t xml:space="preserve"> Fi</w:t>
      </w:r>
      <w:r w:rsidR="007A6BBA">
        <w:rPr>
          <w:rFonts w:ascii="Times New Roman" w:hAnsi="Times New Roman" w:cs="Times New Roman"/>
          <w:i/>
          <w:sz w:val="24"/>
          <w:szCs w:val="24"/>
          <w:lang w:val="en-US"/>
        </w:rPr>
        <w:t>na</w:t>
      </w:r>
      <w:r w:rsidR="00B863AA">
        <w:rPr>
          <w:rFonts w:ascii="Times New Roman" w:hAnsi="Times New Roman" w:cs="Times New Roman"/>
          <w:i/>
          <w:sz w:val="24"/>
          <w:szCs w:val="24"/>
          <w:lang w:val="en-US"/>
        </w:rPr>
        <w:t xml:space="preserve">ncial efficiency </w:t>
      </w:r>
    </w:p>
    <w:p w:rsidR="007C27BB" w:rsidRPr="00813353" w:rsidRDefault="00E80F66" w:rsidP="00707A38">
      <w:pPr>
        <w:spacing w:after="200"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H</w:t>
      </w:r>
      <w:r w:rsidRPr="00E80F66">
        <w:rPr>
          <w:rFonts w:ascii="Times New Roman" w:hAnsi="Times New Roman" w:cs="Times New Roman"/>
          <w:i/>
          <w:sz w:val="24"/>
          <w:szCs w:val="24"/>
          <w:vertAlign w:val="subscript"/>
          <w:lang w:val="en-US"/>
        </w:rPr>
        <w:t>2</w:t>
      </w:r>
      <w:r w:rsidR="00707A38" w:rsidRPr="00707A38">
        <w:rPr>
          <w:rFonts w:ascii="Times New Roman" w:hAnsi="Times New Roman" w:cs="Times New Roman"/>
          <w:i/>
          <w:sz w:val="24"/>
          <w:szCs w:val="24"/>
          <w:lang w:val="en-US"/>
        </w:rPr>
        <w:t xml:space="preserve">: </w:t>
      </w:r>
      <w:r w:rsidR="004A7ED0">
        <w:rPr>
          <w:rFonts w:ascii="Times New Roman" w:hAnsi="Times New Roman" w:cs="Times New Roman"/>
          <w:i/>
          <w:sz w:val="24"/>
          <w:szCs w:val="24"/>
          <w:lang w:val="en-US"/>
        </w:rPr>
        <w:t xml:space="preserve">Voluntary disclosure of the firm </w:t>
      </w:r>
      <w:r w:rsidR="00B863AA">
        <w:rPr>
          <w:rFonts w:ascii="Times New Roman" w:hAnsi="Times New Roman" w:cs="Times New Roman"/>
          <w:i/>
          <w:sz w:val="24"/>
          <w:szCs w:val="24"/>
          <w:lang w:val="en-US"/>
        </w:rPr>
        <w:t xml:space="preserve">is significantly associated </w:t>
      </w:r>
      <w:r w:rsidR="007C27BB">
        <w:rPr>
          <w:rFonts w:ascii="Times New Roman" w:hAnsi="Times New Roman" w:cs="Times New Roman"/>
          <w:i/>
          <w:sz w:val="24"/>
          <w:szCs w:val="24"/>
          <w:lang w:val="en-US"/>
        </w:rPr>
        <w:t>with</w:t>
      </w:r>
      <w:r w:rsidR="00B863AA">
        <w:rPr>
          <w:rFonts w:ascii="Times New Roman" w:hAnsi="Times New Roman" w:cs="Times New Roman"/>
          <w:i/>
          <w:sz w:val="24"/>
          <w:szCs w:val="24"/>
          <w:lang w:val="en-US"/>
        </w:rPr>
        <w:t xml:space="preserve"> Social efficiency </w:t>
      </w:r>
    </w:p>
    <w:p w:rsidR="00F262D5" w:rsidRDefault="00DF5F15" w:rsidP="00707A38">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hypothesis will help the research</w:t>
      </w:r>
      <w:r w:rsidR="00813353">
        <w:rPr>
          <w:rFonts w:ascii="Times New Roman" w:hAnsi="Times New Roman" w:cs="Times New Roman"/>
          <w:sz w:val="24"/>
          <w:szCs w:val="24"/>
          <w:lang w:val="en-US"/>
        </w:rPr>
        <w:t>er</w:t>
      </w:r>
      <w:r>
        <w:rPr>
          <w:rFonts w:ascii="Times New Roman" w:hAnsi="Times New Roman" w:cs="Times New Roman"/>
          <w:sz w:val="24"/>
          <w:szCs w:val="24"/>
          <w:lang w:val="en-US"/>
        </w:rPr>
        <w:t xml:space="preserve"> to understand how the efficiency levels (financial and social) are relat</w:t>
      </w:r>
      <w:r w:rsidR="007A6BBA">
        <w:rPr>
          <w:rFonts w:ascii="Times New Roman" w:hAnsi="Times New Roman" w:cs="Times New Roman"/>
          <w:sz w:val="24"/>
          <w:szCs w:val="24"/>
          <w:lang w:val="en-US"/>
        </w:rPr>
        <w:t>e</w:t>
      </w:r>
      <w:r>
        <w:rPr>
          <w:rFonts w:ascii="Times New Roman" w:hAnsi="Times New Roman" w:cs="Times New Roman"/>
          <w:sz w:val="24"/>
          <w:szCs w:val="24"/>
          <w:lang w:val="en-US"/>
        </w:rPr>
        <w:t>d to the levels of the volun</w:t>
      </w:r>
      <w:r w:rsidR="007A6BBA">
        <w:rPr>
          <w:rFonts w:ascii="Times New Roman" w:hAnsi="Times New Roman" w:cs="Times New Roman"/>
          <w:sz w:val="24"/>
          <w:szCs w:val="24"/>
          <w:lang w:val="en-US"/>
        </w:rPr>
        <w:t>tar</w:t>
      </w:r>
      <w:r>
        <w:rPr>
          <w:rFonts w:ascii="Times New Roman" w:hAnsi="Times New Roman" w:cs="Times New Roman"/>
          <w:sz w:val="24"/>
          <w:szCs w:val="24"/>
          <w:lang w:val="en-US"/>
        </w:rPr>
        <w:t>y dis</w:t>
      </w:r>
      <w:r w:rsidR="007A6BBA">
        <w:rPr>
          <w:rFonts w:ascii="Times New Roman" w:hAnsi="Times New Roman" w:cs="Times New Roman"/>
          <w:sz w:val="24"/>
          <w:szCs w:val="24"/>
          <w:lang w:val="en-US"/>
        </w:rPr>
        <w:t>cl</w:t>
      </w:r>
      <w:r>
        <w:rPr>
          <w:rFonts w:ascii="Times New Roman" w:hAnsi="Times New Roman" w:cs="Times New Roman"/>
          <w:sz w:val="24"/>
          <w:szCs w:val="24"/>
          <w:lang w:val="en-US"/>
        </w:rPr>
        <w:t xml:space="preserve">osures of the NBFC-MFI. </w:t>
      </w:r>
    </w:p>
    <w:p w:rsidR="00707A38" w:rsidRPr="00707A38" w:rsidRDefault="00707A38" w:rsidP="00707A38">
      <w:pPr>
        <w:spacing w:after="200" w:line="480" w:lineRule="auto"/>
        <w:jc w:val="both"/>
        <w:rPr>
          <w:rFonts w:ascii="Times New Roman" w:hAnsi="Times New Roman" w:cs="Times New Roman"/>
          <w:b/>
          <w:caps/>
          <w:sz w:val="24"/>
          <w:szCs w:val="24"/>
          <w:lang w:val="en-US"/>
        </w:rPr>
      </w:pPr>
      <w:r w:rsidRPr="00707A38">
        <w:rPr>
          <w:rFonts w:ascii="Times New Roman" w:hAnsi="Times New Roman" w:cs="Times New Roman"/>
          <w:b/>
          <w:sz w:val="24"/>
          <w:szCs w:val="24"/>
          <w:lang w:val="en-US"/>
        </w:rPr>
        <w:t xml:space="preserve">3. </w:t>
      </w:r>
      <w:r w:rsidRPr="00707A38">
        <w:rPr>
          <w:rFonts w:ascii="Times New Roman" w:hAnsi="Times New Roman" w:cs="Times New Roman"/>
          <w:b/>
          <w:caps/>
          <w:sz w:val="24"/>
          <w:szCs w:val="24"/>
          <w:shd w:val="clear" w:color="auto" w:fill="FFFFFF"/>
        </w:rPr>
        <w:t xml:space="preserve">Research Design and Methodology  </w:t>
      </w:r>
    </w:p>
    <w:p w:rsidR="00707A38" w:rsidRPr="00707A38" w:rsidRDefault="00707A38" w:rsidP="00707A38">
      <w:pPr>
        <w:spacing w:after="200" w:line="480" w:lineRule="auto"/>
        <w:jc w:val="both"/>
        <w:rPr>
          <w:rFonts w:ascii="Times New Roman" w:hAnsi="Times New Roman" w:cs="Times New Roman"/>
          <w:b/>
          <w:sz w:val="24"/>
          <w:szCs w:val="24"/>
          <w:highlight w:val="yellow"/>
          <w:shd w:val="clear" w:color="auto" w:fill="FFFFFF"/>
        </w:rPr>
      </w:pPr>
      <w:r w:rsidRPr="00707A38">
        <w:rPr>
          <w:rFonts w:ascii="Times New Roman" w:hAnsi="Times New Roman" w:cs="Times New Roman"/>
          <w:b/>
          <w:sz w:val="24"/>
          <w:szCs w:val="24"/>
          <w:shd w:val="clear" w:color="auto" w:fill="FFFFFF"/>
        </w:rPr>
        <w:t>3</w:t>
      </w:r>
      <w:r w:rsidRPr="00707A38">
        <w:rPr>
          <w:rFonts w:ascii="Times New Roman" w:hAnsi="Times New Roman" w:cs="Times New Roman"/>
          <w:b/>
          <w:sz w:val="24"/>
          <w:szCs w:val="24"/>
          <w:highlight w:val="yellow"/>
          <w:shd w:val="clear" w:color="auto" w:fill="FFFFFF"/>
        </w:rPr>
        <w:t xml:space="preserve">.1 Data and </w:t>
      </w:r>
      <w:r w:rsidR="00612F56">
        <w:rPr>
          <w:rFonts w:ascii="Times New Roman" w:hAnsi="Times New Roman" w:cs="Times New Roman"/>
          <w:b/>
          <w:sz w:val="24"/>
          <w:szCs w:val="24"/>
          <w:highlight w:val="yellow"/>
          <w:shd w:val="clear" w:color="auto" w:fill="FFFFFF"/>
        </w:rPr>
        <w:t>Selection of variable</w:t>
      </w:r>
    </w:p>
    <w:p w:rsidR="00707A38" w:rsidRPr="00A4752C" w:rsidRDefault="007A6BBA" w:rsidP="00707A38">
      <w:pPr>
        <w:spacing w:after="20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current study considers the NBFC-MFI, registered with the RBI. The firms are selected based on sufficient data and </w:t>
      </w:r>
      <w:r w:rsidR="00B46D40">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availability of the annual reports. The empirical analysis considers data and annual reports of 25 NBFC-MFI from 201 to 2019.</w:t>
      </w:r>
    </w:p>
    <w:p w:rsidR="00707A38" w:rsidRPr="00707A38" w:rsidRDefault="00707A38" w:rsidP="00707A38">
      <w:pPr>
        <w:spacing w:after="200" w:line="480" w:lineRule="auto"/>
        <w:jc w:val="both"/>
        <w:rPr>
          <w:rFonts w:ascii="Times New Roman" w:hAnsi="Times New Roman" w:cs="Times New Roman"/>
          <w:b/>
          <w:sz w:val="24"/>
          <w:szCs w:val="24"/>
          <w:highlight w:val="yellow"/>
          <w:shd w:val="clear" w:color="auto" w:fill="FFFFFF"/>
        </w:rPr>
      </w:pPr>
      <w:r w:rsidRPr="00707A38">
        <w:rPr>
          <w:rFonts w:ascii="Times New Roman" w:hAnsi="Times New Roman" w:cs="Times New Roman"/>
          <w:b/>
          <w:sz w:val="24"/>
          <w:szCs w:val="24"/>
          <w:highlight w:val="yellow"/>
          <w:shd w:val="clear" w:color="auto" w:fill="FFFFFF"/>
        </w:rPr>
        <w:t xml:space="preserve">3.2 Research Design </w:t>
      </w:r>
    </w:p>
    <w:p w:rsidR="00196796" w:rsidRDefault="00196796" w:rsidP="00707A38">
      <w:pPr>
        <w:spacing w:after="200" w:line="480" w:lineRule="auto"/>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highlight w:val="yellow"/>
          <w:shd w:val="clear" w:color="auto" w:fill="FFFFFF"/>
        </w:rPr>
        <w:t xml:space="preserve">The research design of the study comprises of </w:t>
      </w:r>
      <w:r w:rsidR="00355C22">
        <w:rPr>
          <w:rFonts w:ascii="Times New Roman" w:hAnsi="Times New Roman" w:cs="Times New Roman"/>
          <w:sz w:val="24"/>
          <w:szCs w:val="24"/>
          <w:highlight w:val="yellow"/>
          <w:shd w:val="clear" w:color="auto" w:fill="FFFFFF"/>
        </w:rPr>
        <w:t xml:space="preserve">the </w:t>
      </w:r>
      <w:r>
        <w:rPr>
          <w:rFonts w:ascii="Times New Roman" w:hAnsi="Times New Roman" w:cs="Times New Roman"/>
          <w:sz w:val="24"/>
          <w:szCs w:val="24"/>
          <w:highlight w:val="yellow"/>
          <w:shd w:val="clear" w:color="auto" w:fill="FFFFFF"/>
        </w:rPr>
        <w:t>mixed method. Both quantitive and qualitative studies are carr</w:t>
      </w:r>
      <w:r w:rsidR="00355C22">
        <w:rPr>
          <w:rFonts w:ascii="Times New Roman" w:hAnsi="Times New Roman" w:cs="Times New Roman"/>
          <w:sz w:val="24"/>
          <w:szCs w:val="24"/>
          <w:highlight w:val="yellow"/>
          <w:shd w:val="clear" w:color="auto" w:fill="FFFFFF"/>
        </w:rPr>
        <w:t>ied</w:t>
      </w:r>
      <w:r>
        <w:rPr>
          <w:rFonts w:ascii="Times New Roman" w:hAnsi="Times New Roman" w:cs="Times New Roman"/>
          <w:sz w:val="24"/>
          <w:szCs w:val="24"/>
          <w:highlight w:val="yellow"/>
          <w:shd w:val="clear" w:color="auto" w:fill="FFFFFF"/>
        </w:rPr>
        <w:t xml:space="preserve"> out to meet the study's objective.</w:t>
      </w:r>
    </w:p>
    <w:p w:rsidR="00707A38" w:rsidRPr="00A4752C" w:rsidRDefault="00707A38" w:rsidP="00707A38">
      <w:pPr>
        <w:spacing w:after="200" w:line="480" w:lineRule="auto"/>
        <w:jc w:val="both"/>
        <w:rPr>
          <w:rFonts w:ascii="Times New Roman" w:hAnsi="Times New Roman" w:cs="Times New Roman"/>
          <w:b/>
          <w:sz w:val="24"/>
          <w:szCs w:val="24"/>
          <w:highlight w:val="yellow"/>
          <w:shd w:val="clear" w:color="auto" w:fill="FFFFFF"/>
        </w:rPr>
      </w:pPr>
      <w:r w:rsidRPr="00A4752C">
        <w:rPr>
          <w:rFonts w:ascii="Times New Roman" w:hAnsi="Times New Roman" w:cs="Times New Roman"/>
          <w:b/>
          <w:sz w:val="24"/>
          <w:szCs w:val="24"/>
          <w:highlight w:val="yellow"/>
          <w:shd w:val="clear" w:color="auto" w:fill="FFFFFF"/>
        </w:rPr>
        <w:t xml:space="preserve">3.2.1 Voluntary Disclosure Index Construction </w:t>
      </w:r>
    </w:p>
    <w:p w:rsidR="00707A38" w:rsidRPr="00707A38" w:rsidRDefault="000E00BB" w:rsidP="00707A38">
      <w:pPr>
        <w:spacing w:after="200" w:line="480" w:lineRule="auto"/>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highlight w:val="yellow"/>
          <w:shd w:val="clear" w:color="auto" w:fill="FFFFFF"/>
        </w:rPr>
        <w:t>The instrument used to estimate the level of voluntary disclosure is referred to as the VD index.</w:t>
      </w:r>
      <w:r w:rsidR="00707A38" w:rsidRPr="00707A38">
        <w:rPr>
          <w:rFonts w:ascii="Times New Roman" w:hAnsi="Times New Roman" w:cs="Times New Roman"/>
          <w:sz w:val="24"/>
          <w:szCs w:val="24"/>
          <w:highlight w:val="yellow"/>
          <w:shd w:val="clear" w:color="auto" w:fill="FFFFFF"/>
        </w:rPr>
        <w:t xml:space="preserve"> The items in the constructed index </w:t>
      </w:r>
      <w:r w:rsidR="00C060C9">
        <w:rPr>
          <w:rFonts w:ascii="Times New Roman" w:hAnsi="Times New Roman" w:cs="Times New Roman"/>
          <w:sz w:val="24"/>
          <w:szCs w:val="24"/>
          <w:highlight w:val="yellow"/>
          <w:shd w:val="clear" w:color="auto" w:fill="FFFFFF"/>
        </w:rPr>
        <w:t>are</w:t>
      </w:r>
      <w:r w:rsidR="00707A38" w:rsidRPr="00707A38">
        <w:rPr>
          <w:rFonts w:ascii="Times New Roman" w:hAnsi="Times New Roman" w:cs="Times New Roman"/>
          <w:sz w:val="24"/>
          <w:szCs w:val="24"/>
          <w:highlight w:val="yellow"/>
          <w:shd w:val="clear" w:color="auto" w:fill="FFFFFF"/>
        </w:rPr>
        <w:t xml:space="preserve"> checked against the annual reports of the NBFC- MFI. The index construction involves </w:t>
      </w:r>
      <w:r w:rsidR="00C060C9">
        <w:rPr>
          <w:rFonts w:ascii="Times New Roman" w:hAnsi="Times New Roman" w:cs="Times New Roman"/>
          <w:sz w:val="24"/>
          <w:szCs w:val="24"/>
          <w:highlight w:val="yellow"/>
          <w:shd w:val="clear" w:color="auto" w:fill="FFFFFF"/>
        </w:rPr>
        <w:t xml:space="preserve">the </w:t>
      </w:r>
      <w:r w:rsidR="00707A38" w:rsidRPr="00707A38">
        <w:rPr>
          <w:rFonts w:ascii="Times New Roman" w:hAnsi="Times New Roman" w:cs="Times New Roman"/>
          <w:sz w:val="24"/>
          <w:szCs w:val="24"/>
          <w:highlight w:val="yellow"/>
          <w:shd w:val="clear" w:color="auto" w:fill="FFFFFF"/>
        </w:rPr>
        <w:t xml:space="preserve">following steps </w:t>
      </w:r>
      <w:r w:rsidR="00C060C9">
        <w:rPr>
          <w:rFonts w:ascii="Times New Roman" w:hAnsi="Times New Roman" w:cs="Times New Roman"/>
          <w:sz w:val="24"/>
          <w:szCs w:val="24"/>
          <w:highlight w:val="yellow"/>
          <w:shd w:val="clear" w:color="auto" w:fill="FFFFFF"/>
        </w:rPr>
        <w:t>(</w:t>
      </w:r>
      <w:r w:rsidR="00CC1C51">
        <w:rPr>
          <w:rFonts w:ascii="Times New Roman" w:hAnsi="Times New Roman" w:cs="Times New Roman"/>
          <w:sz w:val="24"/>
          <w:szCs w:val="24"/>
          <w:highlight w:val="yellow"/>
          <w:shd w:val="clear" w:color="auto" w:fill="FFFFFF"/>
        </w:rPr>
        <w:t>Cook 1989</w:t>
      </w:r>
      <w:r w:rsidR="00C060C9">
        <w:rPr>
          <w:rFonts w:ascii="Times New Roman" w:hAnsi="Times New Roman" w:cs="Times New Roman"/>
          <w:sz w:val="24"/>
          <w:szCs w:val="24"/>
          <w:highlight w:val="yellow"/>
          <w:shd w:val="clear" w:color="auto" w:fill="FFFFFF"/>
        </w:rPr>
        <w:t xml:space="preserve">; </w:t>
      </w:r>
      <w:r w:rsidR="00C060C9" w:rsidRPr="00707A38">
        <w:rPr>
          <w:rFonts w:ascii="Times New Roman" w:hAnsi="Times New Roman" w:cs="Times New Roman"/>
          <w:sz w:val="24"/>
          <w:szCs w:val="24"/>
          <w:highlight w:val="yellow"/>
          <w:shd w:val="clear" w:color="auto" w:fill="FFFFFF"/>
        </w:rPr>
        <w:t>Firer and Meth, 1986</w:t>
      </w:r>
      <w:r w:rsidR="00C060C9">
        <w:rPr>
          <w:rFonts w:ascii="Times New Roman" w:hAnsi="Times New Roman" w:cs="Times New Roman"/>
          <w:sz w:val="24"/>
          <w:szCs w:val="24"/>
          <w:highlight w:val="yellow"/>
          <w:shd w:val="clear" w:color="auto" w:fill="FFFFFF"/>
        </w:rPr>
        <w:t>; Buckland et al., 2000</w:t>
      </w:r>
      <w:r w:rsidR="00B85213">
        <w:rPr>
          <w:rFonts w:ascii="Times New Roman" w:hAnsi="Times New Roman" w:cs="Times New Roman"/>
          <w:sz w:val="24"/>
          <w:szCs w:val="24"/>
          <w:highlight w:val="yellow"/>
          <w:shd w:val="clear" w:color="auto" w:fill="FFFFFF"/>
        </w:rPr>
        <w:t>)</w:t>
      </w:r>
      <w:r w:rsidR="00B46D40">
        <w:rPr>
          <w:rFonts w:ascii="Times New Roman" w:hAnsi="Times New Roman" w:cs="Times New Roman"/>
          <w:sz w:val="24"/>
          <w:szCs w:val="24"/>
          <w:highlight w:val="yellow"/>
          <w:shd w:val="clear" w:color="auto" w:fill="FFFFFF"/>
        </w:rPr>
        <w:t>.</w:t>
      </w:r>
      <w:r w:rsidR="00B85213">
        <w:rPr>
          <w:rFonts w:ascii="Times New Roman" w:hAnsi="Times New Roman" w:cs="Times New Roman"/>
          <w:sz w:val="24"/>
          <w:szCs w:val="24"/>
          <w:highlight w:val="yellow"/>
          <w:shd w:val="clear" w:color="auto" w:fill="FFFFFF"/>
        </w:rPr>
        <w:t xml:space="preserve"> </w:t>
      </w:r>
      <w:r w:rsidR="00C060C9">
        <w:rPr>
          <w:rFonts w:ascii="Times New Roman" w:hAnsi="Times New Roman" w:cs="Times New Roman"/>
          <w:sz w:val="24"/>
          <w:szCs w:val="24"/>
          <w:highlight w:val="yellow"/>
          <w:shd w:val="clear" w:color="auto" w:fill="FFFFFF"/>
        </w:rPr>
        <w:t>Firstly, the literature review i</w:t>
      </w:r>
      <w:r w:rsidR="00CA463F">
        <w:rPr>
          <w:rFonts w:ascii="Times New Roman" w:hAnsi="Times New Roman" w:cs="Times New Roman"/>
          <w:sz w:val="24"/>
          <w:szCs w:val="24"/>
          <w:highlight w:val="yellow"/>
          <w:shd w:val="clear" w:color="auto" w:fill="FFFFFF"/>
        </w:rPr>
        <w:t>dentifies</w:t>
      </w:r>
      <w:r w:rsidR="00707A38" w:rsidRPr="00707A38">
        <w:rPr>
          <w:rFonts w:ascii="Times New Roman" w:hAnsi="Times New Roman" w:cs="Times New Roman"/>
          <w:sz w:val="24"/>
          <w:szCs w:val="24"/>
          <w:highlight w:val="yellow"/>
          <w:shd w:val="clear" w:color="auto" w:fill="FFFFFF"/>
        </w:rPr>
        <w:t xml:space="preserve"> the components of voluntary dis</w:t>
      </w:r>
      <w:r w:rsidR="00CA463F">
        <w:rPr>
          <w:rFonts w:ascii="Times New Roman" w:hAnsi="Times New Roman" w:cs="Times New Roman"/>
          <w:sz w:val="24"/>
          <w:szCs w:val="24"/>
          <w:highlight w:val="yellow"/>
          <w:shd w:val="clear" w:color="auto" w:fill="FFFFFF"/>
        </w:rPr>
        <w:t>cl</w:t>
      </w:r>
      <w:r w:rsidR="00707A38" w:rsidRPr="00707A38">
        <w:rPr>
          <w:rFonts w:ascii="Times New Roman" w:hAnsi="Times New Roman" w:cs="Times New Roman"/>
          <w:sz w:val="24"/>
          <w:szCs w:val="24"/>
          <w:highlight w:val="yellow"/>
          <w:shd w:val="clear" w:color="auto" w:fill="FFFFFF"/>
        </w:rPr>
        <w:t xml:space="preserve">osures. </w:t>
      </w:r>
      <w:r w:rsidR="00CA463F">
        <w:rPr>
          <w:rFonts w:ascii="Times New Roman" w:hAnsi="Times New Roman" w:cs="Times New Roman"/>
          <w:sz w:val="24"/>
          <w:szCs w:val="24"/>
          <w:highlight w:val="yellow"/>
          <w:shd w:val="clear" w:color="auto" w:fill="FFFFFF"/>
        </w:rPr>
        <w:t>The s</w:t>
      </w:r>
      <w:r w:rsidR="00707A38" w:rsidRPr="00707A38">
        <w:rPr>
          <w:rFonts w:ascii="Times New Roman" w:hAnsi="Times New Roman" w:cs="Times New Roman"/>
          <w:sz w:val="24"/>
          <w:szCs w:val="24"/>
          <w:highlight w:val="yellow"/>
          <w:shd w:val="clear" w:color="auto" w:fill="FFFFFF"/>
        </w:rPr>
        <w:t>econd step includes the expert</w:t>
      </w:r>
      <w:r w:rsidR="00CA463F">
        <w:rPr>
          <w:rFonts w:ascii="Times New Roman" w:hAnsi="Times New Roman" w:cs="Times New Roman"/>
          <w:sz w:val="24"/>
          <w:szCs w:val="24"/>
          <w:highlight w:val="yellow"/>
          <w:shd w:val="clear" w:color="auto" w:fill="FFFFFF"/>
        </w:rPr>
        <w:t>'</w:t>
      </w:r>
      <w:r w:rsidR="00707A38" w:rsidRPr="00707A38">
        <w:rPr>
          <w:rFonts w:ascii="Times New Roman" w:hAnsi="Times New Roman" w:cs="Times New Roman"/>
          <w:sz w:val="24"/>
          <w:szCs w:val="24"/>
          <w:highlight w:val="yellow"/>
          <w:shd w:val="clear" w:color="auto" w:fill="FFFFFF"/>
        </w:rPr>
        <w:t>s interview</w:t>
      </w:r>
      <w:r w:rsidR="00CA463F">
        <w:rPr>
          <w:rFonts w:ascii="Times New Roman" w:hAnsi="Times New Roman" w:cs="Times New Roman"/>
          <w:sz w:val="24"/>
          <w:szCs w:val="24"/>
          <w:highlight w:val="yellow"/>
          <w:shd w:val="clear" w:color="auto" w:fill="FFFFFF"/>
        </w:rPr>
        <w:t>, which helped extract</w:t>
      </w:r>
      <w:r w:rsidR="00707A38" w:rsidRPr="00707A38">
        <w:rPr>
          <w:rFonts w:ascii="Times New Roman" w:hAnsi="Times New Roman" w:cs="Times New Roman"/>
          <w:sz w:val="24"/>
          <w:szCs w:val="24"/>
          <w:highlight w:val="yellow"/>
          <w:shd w:val="clear" w:color="auto" w:fill="FFFFFF"/>
        </w:rPr>
        <w:t xml:space="preserve"> </w:t>
      </w:r>
      <w:r w:rsidR="00CA463F">
        <w:rPr>
          <w:rFonts w:ascii="Times New Roman" w:hAnsi="Times New Roman" w:cs="Times New Roman"/>
          <w:sz w:val="24"/>
          <w:szCs w:val="24"/>
          <w:highlight w:val="yellow"/>
          <w:shd w:val="clear" w:color="auto" w:fill="FFFFFF"/>
        </w:rPr>
        <w:t>specific</w:t>
      </w:r>
      <w:r w:rsidR="00707A38" w:rsidRPr="00707A38">
        <w:rPr>
          <w:rFonts w:ascii="Times New Roman" w:hAnsi="Times New Roman" w:cs="Times New Roman"/>
          <w:sz w:val="24"/>
          <w:szCs w:val="24"/>
          <w:highlight w:val="yellow"/>
          <w:shd w:val="clear" w:color="auto" w:fill="FFFFFF"/>
        </w:rPr>
        <w:t xml:space="preserve"> </w:t>
      </w:r>
      <w:r w:rsidR="00CA463F">
        <w:rPr>
          <w:rFonts w:ascii="Times New Roman" w:hAnsi="Times New Roman" w:cs="Times New Roman"/>
          <w:sz w:val="24"/>
          <w:szCs w:val="24"/>
          <w:highlight w:val="yellow"/>
          <w:shd w:val="clear" w:color="auto" w:fill="FFFFFF"/>
        </w:rPr>
        <w:t>elem</w:t>
      </w:r>
      <w:r w:rsidR="00707A38" w:rsidRPr="00707A38">
        <w:rPr>
          <w:rFonts w:ascii="Times New Roman" w:hAnsi="Times New Roman" w:cs="Times New Roman"/>
          <w:sz w:val="24"/>
          <w:szCs w:val="24"/>
          <w:highlight w:val="yellow"/>
          <w:shd w:val="clear" w:color="auto" w:fill="FFFFFF"/>
        </w:rPr>
        <w:t>ents of the index construction. T</w:t>
      </w:r>
      <w:r w:rsidR="00CA463F">
        <w:rPr>
          <w:rFonts w:ascii="Times New Roman" w:hAnsi="Times New Roman" w:cs="Times New Roman"/>
          <w:sz w:val="24"/>
          <w:szCs w:val="24"/>
          <w:highlight w:val="yellow"/>
          <w:shd w:val="clear" w:color="auto" w:fill="FFFFFF"/>
        </w:rPr>
        <w:t>he t</w:t>
      </w:r>
      <w:r w:rsidR="00707A38" w:rsidRPr="00707A38">
        <w:rPr>
          <w:rFonts w:ascii="Times New Roman" w:hAnsi="Times New Roman" w:cs="Times New Roman"/>
          <w:sz w:val="24"/>
          <w:szCs w:val="24"/>
          <w:highlight w:val="yellow"/>
          <w:shd w:val="clear" w:color="auto" w:fill="FFFFFF"/>
        </w:rPr>
        <w:t xml:space="preserve">hird step checks the Indian regulatory disclosure requirements (Companies act 2013; clause 45, RBI Act 1934 ) of NBFC-MFI. Items that are beyond the </w:t>
      </w:r>
      <w:r w:rsidR="00CA463F">
        <w:rPr>
          <w:rFonts w:ascii="Times New Roman" w:hAnsi="Times New Roman" w:cs="Times New Roman"/>
          <w:sz w:val="24"/>
          <w:szCs w:val="24"/>
          <w:highlight w:val="yellow"/>
          <w:shd w:val="clear" w:color="auto" w:fill="FFFFFF"/>
        </w:rPr>
        <w:t>needs</w:t>
      </w:r>
      <w:r w:rsidR="00707A38" w:rsidRPr="00707A38">
        <w:rPr>
          <w:rFonts w:ascii="Times New Roman" w:hAnsi="Times New Roman" w:cs="Times New Roman"/>
          <w:sz w:val="24"/>
          <w:szCs w:val="24"/>
          <w:highlight w:val="yellow"/>
          <w:shd w:val="clear" w:color="auto" w:fill="FFFFFF"/>
        </w:rPr>
        <w:t xml:space="preserve"> of the RBI 2011, Schedule III of the companies a</w:t>
      </w:r>
      <w:r w:rsidR="00CA463F">
        <w:rPr>
          <w:rFonts w:ascii="Times New Roman" w:hAnsi="Times New Roman" w:cs="Times New Roman"/>
          <w:sz w:val="24"/>
          <w:szCs w:val="24"/>
          <w:highlight w:val="yellow"/>
          <w:shd w:val="clear" w:color="auto" w:fill="FFFFFF"/>
        </w:rPr>
        <w:t>c</w:t>
      </w:r>
      <w:r w:rsidR="00707A38" w:rsidRPr="00707A38">
        <w:rPr>
          <w:rFonts w:ascii="Times New Roman" w:hAnsi="Times New Roman" w:cs="Times New Roman"/>
          <w:sz w:val="24"/>
          <w:szCs w:val="24"/>
          <w:highlight w:val="yellow"/>
          <w:shd w:val="clear" w:color="auto" w:fill="FFFFFF"/>
        </w:rPr>
        <w:t xml:space="preserve">t 2013, and the SEBI (Listing obligations and Disclosures norms) 2019 are taken for construction. </w:t>
      </w:r>
    </w:p>
    <w:p w:rsidR="00707A38" w:rsidRDefault="00707A38" w:rsidP="00707A38">
      <w:pPr>
        <w:spacing w:after="200" w:line="480" w:lineRule="auto"/>
        <w:jc w:val="both"/>
        <w:rPr>
          <w:rFonts w:ascii="Times New Roman" w:hAnsi="Times New Roman" w:cs="Times New Roman"/>
          <w:sz w:val="24"/>
          <w:szCs w:val="24"/>
          <w:shd w:val="clear" w:color="auto" w:fill="FFFFFF"/>
        </w:rPr>
      </w:pPr>
      <w:r w:rsidRPr="00707A38">
        <w:rPr>
          <w:rFonts w:ascii="Times New Roman" w:hAnsi="Times New Roman" w:cs="Times New Roman"/>
          <w:sz w:val="24"/>
          <w:szCs w:val="24"/>
          <w:highlight w:val="yellow"/>
          <w:shd w:val="clear" w:color="auto" w:fill="FFFFFF"/>
        </w:rPr>
        <w:t>Index Items fall in the category of financial information, including financial narratives, financial ratios, non</w:t>
      </w:r>
      <w:r w:rsidR="00B46D40">
        <w:rPr>
          <w:rFonts w:ascii="Times New Roman" w:hAnsi="Times New Roman" w:cs="Times New Roman"/>
          <w:sz w:val="24"/>
          <w:szCs w:val="24"/>
          <w:highlight w:val="yellow"/>
          <w:shd w:val="clear" w:color="auto" w:fill="FFFFFF"/>
        </w:rPr>
        <w:t>-</w:t>
      </w:r>
      <w:r w:rsidRPr="00707A38">
        <w:rPr>
          <w:rFonts w:ascii="Times New Roman" w:hAnsi="Times New Roman" w:cs="Times New Roman"/>
          <w:sz w:val="24"/>
          <w:szCs w:val="24"/>
          <w:highlight w:val="yellow"/>
          <w:shd w:val="clear" w:color="auto" w:fill="FFFFFF"/>
        </w:rPr>
        <w:t>financial information such as business strategy, employee information, forward-looking information, beneficiary profiling, outreach</w:t>
      </w:r>
      <w:r w:rsidR="002153E8">
        <w:rPr>
          <w:rFonts w:ascii="Times New Roman" w:hAnsi="Times New Roman" w:cs="Times New Roman"/>
          <w:sz w:val="24"/>
          <w:szCs w:val="24"/>
          <w:highlight w:val="yellow"/>
          <w:shd w:val="clear" w:color="auto" w:fill="FFFFFF"/>
        </w:rPr>
        <w:t xml:space="preserve"> (Quayes, 2012)</w:t>
      </w:r>
      <w:r w:rsidRPr="00707A38">
        <w:rPr>
          <w:rFonts w:ascii="Times New Roman" w:hAnsi="Times New Roman" w:cs="Times New Roman"/>
          <w:sz w:val="24"/>
          <w:szCs w:val="24"/>
          <w:highlight w:val="yellow"/>
          <w:shd w:val="clear" w:color="auto" w:fill="FFFFFF"/>
        </w:rPr>
        <w:t>, human capital, and corporate social responsibility (CSR). The CSR items in section 135 of Schedule VII of CA 2013 are not included</w:t>
      </w:r>
      <w:r w:rsidR="00A4752C">
        <w:rPr>
          <w:rFonts w:ascii="Times New Roman" w:hAnsi="Times New Roman" w:cs="Times New Roman"/>
          <w:sz w:val="24"/>
          <w:szCs w:val="24"/>
          <w:highlight w:val="yellow"/>
          <w:shd w:val="clear" w:color="auto" w:fill="FFFFFF"/>
        </w:rPr>
        <w:t xml:space="preserve"> as they are mandatory</w:t>
      </w:r>
      <w:r w:rsidRPr="00707A38">
        <w:rPr>
          <w:rFonts w:ascii="Times New Roman" w:hAnsi="Times New Roman" w:cs="Times New Roman"/>
          <w:sz w:val="24"/>
          <w:szCs w:val="24"/>
          <w:highlight w:val="yellow"/>
          <w:shd w:val="clear" w:color="auto" w:fill="FFFFFF"/>
        </w:rPr>
        <w:t>.</w:t>
      </w:r>
      <w:r w:rsidRPr="00707A38">
        <w:rPr>
          <w:rFonts w:ascii="Times New Roman" w:hAnsi="Times New Roman" w:cs="Times New Roman"/>
          <w:sz w:val="24"/>
          <w:szCs w:val="24"/>
          <w:shd w:val="clear" w:color="auto" w:fill="FFFFFF"/>
        </w:rPr>
        <w:t xml:space="preserve"> </w:t>
      </w:r>
    </w:p>
    <w:p w:rsidR="00825D15" w:rsidRDefault="003040A2" w:rsidP="00707A38">
      <w:pPr>
        <w:spacing w:after="20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 exhaustive list of 97 items is </w:t>
      </w:r>
      <w:r w:rsidR="00195B75">
        <w:rPr>
          <w:rFonts w:ascii="Times New Roman" w:hAnsi="Times New Roman" w:cs="Times New Roman"/>
          <w:sz w:val="24"/>
          <w:szCs w:val="24"/>
          <w:shd w:val="clear" w:color="auto" w:fill="FFFFFF"/>
        </w:rPr>
        <w:t>produced</w:t>
      </w:r>
      <w:r>
        <w:rPr>
          <w:rFonts w:ascii="Times New Roman" w:hAnsi="Times New Roman" w:cs="Times New Roman"/>
          <w:sz w:val="24"/>
          <w:szCs w:val="24"/>
          <w:shd w:val="clear" w:color="auto" w:fill="FFFFFF"/>
        </w:rPr>
        <w:t xml:space="preserve">. </w:t>
      </w:r>
      <w:r w:rsidR="00195B75">
        <w:rPr>
          <w:rFonts w:ascii="Times New Roman" w:hAnsi="Times New Roman" w:cs="Times New Roman"/>
          <w:sz w:val="24"/>
          <w:szCs w:val="24"/>
          <w:shd w:val="clear" w:color="auto" w:fill="FFFFFF"/>
        </w:rPr>
        <w:t>The items are categoris</w:t>
      </w:r>
      <w:r w:rsidR="00DA6522">
        <w:rPr>
          <w:rFonts w:ascii="Times New Roman" w:hAnsi="Times New Roman" w:cs="Times New Roman"/>
          <w:sz w:val="24"/>
          <w:szCs w:val="24"/>
          <w:shd w:val="clear" w:color="auto" w:fill="FFFFFF"/>
        </w:rPr>
        <w:t>ed into different categories. The list is shared with the experts</w:t>
      </w:r>
      <w:r w:rsidR="0005356D">
        <w:rPr>
          <w:rFonts w:ascii="Times New Roman" w:hAnsi="Times New Roman" w:cs="Times New Roman"/>
          <w:sz w:val="24"/>
          <w:szCs w:val="24"/>
          <w:shd w:val="clear" w:color="auto" w:fill="FFFFFF"/>
        </w:rPr>
        <w:t>,</w:t>
      </w:r>
      <w:r w:rsidR="00DA6522">
        <w:rPr>
          <w:rFonts w:ascii="Times New Roman" w:hAnsi="Times New Roman" w:cs="Times New Roman"/>
          <w:sz w:val="24"/>
          <w:szCs w:val="24"/>
          <w:shd w:val="clear" w:color="auto" w:fill="FFFFFF"/>
        </w:rPr>
        <w:t xml:space="preserve"> and the final list with 75  items falling into nine categories</w:t>
      </w:r>
      <w:r w:rsidR="0005356D">
        <w:rPr>
          <w:rFonts w:ascii="Times New Roman" w:hAnsi="Times New Roman" w:cs="Times New Roman"/>
          <w:sz w:val="24"/>
          <w:szCs w:val="24"/>
          <w:shd w:val="clear" w:color="auto" w:fill="FFFFFF"/>
        </w:rPr>
        <w:t xml:space="preserve"> is formed.</w:t>
      </w:r>
      <w:r w:rsidR="00DA6522">
        <w:rPr>
          <w:rFonts w:ascii="Times New Roman" w:hAnsi="Times New Roman" w:cs="Times New Roman"/>
          <w:sz w:val="24"/>
          <w:szCs w:val="24"/>
          <w:shd w:val="clear" w:color="auto" w:fill="FFFFFF"/>
        </w:rPr>
        <w:t xml:space="preserve"> </w:t>
      </w:r>
      <w:r w:rsidR="00185F37">
        <w:rPr>
          <w:rFonts w:ascii="Times New Roman" w:hAnsi="Times New Roman" w:cs="Times New Roman"/>
          <w:sz w:val="24"/>
          <w:szCs w:val="24"/>
          <w:shd w:val="clear" w:color="auto" w:fill="FFFFFF"/>
        </w:rPr>
        <w:t>The nine categories</w:t>
      </w:r>
      <w:r w:rsidR="00960A4C">
        <w:rPr>
          <w:rFonts w:ascii="Times New Roman" w:hAnsi="Times New Roman" w:cs="Times New Roman"/>
          <w:sz w:val="24"/>
          <w:szCs w:val="24"/>
          <w:shd w:val="clear" w:color="auto" w:fill="FFFFFF"/>
        </w:rPr>
        <w:t xml:space="preserve"> are</w:t>
      </w:r>
      <w:r w:rsidR="00185F37">
        <w:rPr>
          <w:rFonts w:ascii="Times New Roman" w:hAnsi="Times New Roman" w:cs="Times New Roman"/>
          <w:sz w:val="24"/>
          <w:szCs w:val="24"/>
          <w:shd w:val="clear" w:color="auto" w:fill="FFFFFF"/>
        </w:rPr>
        <w:t xml:space="preserve"> </w:t>
      </w:r>
      <w:r w:rsidR="002430CD">
        <w:rPr>
          <w:rFonts w:ascii="Times New Roman" w:hAnsi="Times New Roman" w:cs="Times New Roman"/>
          <w:sz w:val="24"/>
          <w:szCs w:val="24"/>
          <w:shd w:val="clear" w:color="auto" w:fill="FFFFFF"/>
        </w:rPr>
        <w:t>BG, CG, FP, FLI, SP, HIC, CSR, CEO, and RM</w:t>
      </w:r>
      <w:r w:rsidR="00B67EBF">
        <w:rPr>
          <w:rFonts w:ascii="Times New Roman" w:hAnsi="Times New Roman" w:cs="Times New Roman"/>
          <w:sz w:val="24"/>
          <w:szCs w:val="24"/>
          <w:shd w:val="clear" w:color="auto" w:fill="FFFFFF"/>
        </w:rPr>
        <w:t xml:space="preserve"> (Table 1)</w:t>
      </w:r>
      <w:r w:rsidR="002430CD">
        <w:rPr>
          <w:rFonts w:ascii="Times New Roman" w:hAnsi="Times New Roman" w:cs="Times New Roman"/>
          <w:sz w:val="24"/>
          <w:szCs w:val="24"/>
          <w:shd w:val="clear" w:color="auto" w:fill="FFFFFF"/>
        </w:rPr>
        <w:t>.</w:t>
      </w:r>
      <w:r w:rsidR="00825D15">
        <w:rPr>
          <w:rFonts w:ascii="Times New Roman" w:hAnsi="Times New Roman" w:cs="Times New Roman"/>
          <w:sz w:val="24"/>
          <w:szCs w:val="24"/>
          <w:shd w:val="clear" w:color="auto" w:fill="FFFFFF"/>
        </w:rPr>
        <w:t xml:space="preserve"> </w:t>
      </w:r>
      <w:r w:rsidR="00960A4C">
        <w:rPr>
          <w:rFonts w:ascii="Times New Roman" w:hAnsi="Times New Roman" w:cs="Times New Roman"/>
          <w:sz w:val="24"/>
          <w:szCs w:val="24"/>
          <w:shd w:val="clear" w:color="auto" w:fill="FFFFFF"/>
        </w:rPr>
        <w:t>Each category</w:t>
      </w:r>
      <w:r w:rsidR="00707A38" w:rsidRPr="00707A38">
        <w:rPr>
          <w:rFonts w:ascii="Times New Roman" w:hAnsi="Times New Roman" w:cs="Times New Roman"/>
          <w:sz w:val="24"/>
          <w:szCs w:val="24"/>
          <w:shd w:val="clear" w:color="auto" w:fill="FFFFFF"/>
        </w:rPr>
        <w:t xml:space="preserve"> </w:t>
      </w:r>
      <w:r w:rsidR="00960A4C">
        <w:rPr>
          <w:rFonts w:ascii="Times New Roman" w:hAnsi="Times New Roman" w:cs="Times New Roman"/>
          <w:sz w:val="24"/>
          <w:szCs w:val="24"/>
          <w:shd w:val="clear" w:color="auto" w:fill="FFFFFF"/>
        </w:rPr>
        <w:t>has a group of it</w:t>
      </w:r>
      <w:r w:rsidR="00EB155B">
        <w:rPr>
          <w:rFonts w:ascii="Times New Roman" w:hAnsi="Times New Roman" w:cs="Times New Roman"/>
          <w:sz w:val="24"/>
          <w:szCs w:val="24"/>
          <w:shd w:val="clear" w:color="auto" w:fill="FFFFFF"/>
        </w:rPr>
        <w:t>em</w:t>
      </w:r>
      <w:r w:rsidR="00960A4C">
        <w:rPr>
          <w:rFonts w:ascii="Times New Roman" w:hAnsi="Times New Roman" w:cs="Times New Roman"/>
          <w:sz w:val="24"/>
          <w:szCs w:val="24"/>
          <w:shd w:val="clear" w:color="auto" w:fill="FFFFFF"/>
        </w:rPr>
        <w:t>s</w:t>
      </w:r>
      <w:r w:rsidR="00707A38" w:rsidRPr="00707A38">
        <w:rPr>
          <w:rFonts w:ascii="Times New Roman" w:hAnsi="Times New Roman" w:cs="Times New Roman"/>
          <w:sz w:val="24"/>
          <w:szCs w:val="24"/>
          <w:shd w:val="clear" w:color="auto" w:fill="FFFFFF"/>
        </w:rPr>
        <w:t xml:space="preserve">. </w:t>
      </w:r>
    </w:p>
    <w:p w:rsidR="002A0E2C" w:rsidRPr="00455FC0" w:rsidRDefault="00707A38" w:rsidP="00707A38">
      <w:pPr>
        <w:spacing w:after="200" w:line="480" w:lineRule="auto"/>
        <w:jc w:val="both"/>
        <w:rPr>
          <w:rFonts w:ascii="Times New Roman" w:hAnsi="Times New Roman" w:cs="Times New Roman"/>
          <w:sz w:val="24"/>
          <w:szCs w:val="24"/>
          <w:shd w:val="clear" w:color="auto" w:fill="FFFFFF"/>
          <w:lang w:val="en-US"/>
        </w:rPr>
      </w:pPr>
      <w:r w:rsidRPr="00707A38">
        <w:rPr>
          <w:rFonts w:ascii="Times New Roman" w:hAnsi="Times New Roman" w:cs="Times New Roman"/>
          <w:sz w:val="24"/>
          <w:szCs w:val="24"/>
          <w:highlight w:val="yellow"/>
          <w:shd w:val="clear" w:color="auto" w:fill="FFFFFF"/>
        </w:rPr>
        <w:t>The disclosure studies use the annual reports to estimate the dis</w:t>
      </w:r>
      <w:r w:rsidR="009E544D">
        <w:rPr>
          <w:rFonts w:ascii="Times New Roman" w:hAnsi="Times New Roman" w:cs="Times New Roman"/>
          <w:sz w:val="24"/>
          <w:szCs w:val="24"/>
          <w:highlight w:val="yellow"/>
          <w:shd w:val="clear" w:color="auto" w:fill="FFFFFF"/>
        </w:rPr>
        <w:t>cl</w:t>
      </w:r>
      <w:r w:rsidR="00E45817">
        <w:rPr>
          <w:rFonts w:ascii="Times New Roman" w:hAnsi="Times New Roman" w:cs="Times New Roman"/>
          <w:sz w:val="24"/>
          <w:szCs w:val="24"/>
          <w:highlight w:val="yellow"/>
          <w:shd w:val="clear" w:color="auto" w:fill="FFFFFF"/>
        </w:rPr>
        <w:t>osure level</w:t>
      </w:r>
      <w:r w:rsidRPr="00707A38">
        <w:rPr>
          <w:rFonts w:ascii="Times New Roman" w:hAnsi="Times New Roman" w:cs="Times New Roman"/>
          <w:sz w:val="24"/>
          <w:szCs w:val="24"/>
          <w:highlight w:val="yellow"/>
          <w:shd w:val="clear" w:color="auto" w:fill="FFFFFF"/>
        </w:rPr>
        <w:t xml:space="preserve"> (Kassarjian, 1977; </w:t>
      </w:r>
      <w:r w:rsidR="00D43CA1">
        <w:rPr>
          <w:rFonts w:ascii="Times New Roman" w:hAnsi="Times New Roman" w:cs="Times New Roman"/>
          <w:sz w:val="24"/>
          <w:szCs w:val="24"/>
          <w:highlight w:val="yellow"/>
          <w:shd w:val="clear" w:color="auto" w:fill="FFFFFF"/>
        </w:rPr>
        <w:t xml:space="preserve">Kavitha and Nandagopal, 2019). </w:t>
      </w:r>
      <w:r w:rsidRPr="00707A38">
        <w:rPr>
          <w:rFonts w:ascii="Times New Roman" w:hAnsi="Times New Roman" w:cs="Times New Roman"/>
          <w:sz w:val="24"/>
          <w:szCs w:val="24"/>
          <w:highlight w:val="yellow"/>
          <w:shd w:val="clear" w:color="auto" w:fill="FFFFFF"/>
        </w:rPr>
        <w:t>The items in the categories are identified in the annual reports.</w:t>
      </w:r>
      <w:r w:rsidRPr="00707A38">
        <w:rPr>
          <w:rFonts w:ascii="Times New Roman" w:hAnsi="Times New Roman" w:cs="Times New Roman"/>
          <w:sz w:val="24"/>
          <w:szCs w:val="24"/>
          <w:shd w:val="clear" w:color="auto" w:fill="FFFFFF"/>
        </w:rPr>
        <w:t xml:space="preserve"> Binary coding is used to score the firm; in case the item is available</w:t>
      </w:r>
      <w:r w:rsidR="009E544D">
        <w:rPr>
          <w:rFonts w:ascii="Times New Roman" w:hAnsi="Times New Roman" w:cs="Times New Roman"/>
          <w:sz w:val="24"/>
          <w:szCs w:val="24"/>
          <w:shd w:val="clear" w:color="auto" w:fill="FFFFFF"/>
        </w:rPr>
        <w:t>,</w:t>
      </w:r>
      <w:r w:rsidRPr="00707A38">
        <w:rPr>
          <w:rFonts w:ascii="Times New Roman" w:hAnsi="Times New Roman" w:cs="Times New Roman"/>
          <w:sz w:val="24"/>
          <w:szCs w:val="24"/>
          <w:shd w:val="clear" w:color="auto" w:fill="FFFFFF"/>
        </w:rPr>
        <w:t xml:space="preserve"> the firm is marked </w:t>
      </w:r>
      <w:r w:rsidR="007443D1">
        <w:rPr>
          <w:rFonts w:ascii="Times New Roman" w:hAnsi="Times New Roman" w:cs="Times New Roman"/>
          <w:sz w:val="24"/>
          <w:szCs w:val="24"/>
          <w:shd w:val="clear" w:color="auto" w:fill="FFFFFF"/>
        </w:rPr>
        <w:t>'</w:t>
      </w:r>
      <w:r w:rsidRPr="00707A38">
        <w:rPr>
          <w:rFonts w:ascii="Times New Roman" w:hAnsi="Times New Roman" w:cs="Times New Roman"/>
          <w:sz w:val="24"/>
          <w:szCs w:val="24"/>
          <w:shd w:val="clear" w:color="auto" w:fill="FFFFFF"/>
        </w:rPr>
        <w:t>1</w:t>
      </w:r>
      <w:r w:rsidR="007443D1">
        <w:rPr>
          <w:rFonts w:ascii="Times New Roman" w:hAnsi="Times New Roman" w:cs="Times New Roman"/>
          <w:sz w:val="24"/>
          <w:szCs w:val="24"/>
          <w:shd w:val="clear" w:color="auto" w:fill="FFFFFF"/>
        </w:rPr>
        <w:t>'</w:t>
      </w:r>
      <w:r w:rsidRPr="00707A38">
        <w:rPr>
          <w:rFonts w:ascii="Times New Roman" w:hAnsi="Times New Roman" w:cs="Times New Roman"/>
          <w:sz w:val="24"/>
          <w:szCs w:val="24"/>
          <w:shd w:val="clear" w:color="auto" w:fill="FFFFFF"/>
        </w:rPr>
        <w:t xml:space="preserve"> or otherwise </w:t>
      </w:r>
      <w:r w:rsidR="007443D1">
        <w:rPr>
          <w:rFonts w:ascii="Times New Roman" w:hAnsi="Times New Roman" w:cs="Times New Roman"/>
          <w:sz w:val="24"/>
          <w:szCs w:val="24"/>
          <w:shd w:val="clear" w:color="auto" w:fill="FFFFFF"/>
        </w:rPr>
        <w:t>'</w:t>
      </w:r>
      <w:r w:rsidRPr="00707A38">
        <w:rPr>
          <w:rFonts w:ascii="Times New Roman" w:hAnsi="Times New Roman" w:cs="Times New Roman"/>
          <w:sz w:val="24"/>
          <w:szCs w:val="24"/>
          <w:shd w:val="clear" w:color="auto" w:fill="FFFFFF"/>
        </w:rPr>
        <w:t>0</w:t>
      </w:r>
      <w:r w:rsidR="007443D1">
        <w:rPr>
          <w:rFonts w:ascii="Times New Roman" w:hAnsi="Times New Roman" w:cs="Times New Roman"/>
          <w:sz w:val="24"/>
          <w:szCs w:val="24"/>
          <w:shd w:val="clear" w:color="auto" w:fill="FFFFFF"/>
        </w:rPr>
        <w:t>'</w:t>
      </w:r>
      <w:r w:rsidRPr="00707A38">
        <w:rPr>
          <w:rFonts w:ascii="Times New Roman" w:hAnsi="Times New Roman" w:cs="Times New Roman"/>
          <w:sz w:val="24"/>
          <w:szCs w:val="24"/>
          <w:shd w:val="clear" w:color="auto" w:fill="FFFFFF"/>
        </w:rPr>
        <w:t xml:space="preserve"> (</w:t>
      </w:r>
      <w:r w:rsidR="00F95BA4" w:rsidRPr="00707A38">
        <w:rPr>
          <w:rFonts w:ascii="Times New Roman" w:hAnsi="Times New Roman" w:cs="Times New Roman"/>
          <w:sz w:val="24"/>
          <w:szCs w:val="24"/>
          <w:lang w:val="en-GB"/>
        </w:rPr>
        <w:t>Basalamah and Jermias, 2005</w:t>
      </w:r>
      <w:r w:rsidR="00F95BA4">
        <w:rPr>
          <w:rFonts w:ascii="Times New Roman" w:hAnsi="Times New Roman" w:cs="Times New Roman"/>
          <w:sz w:val="24"/>
          <w:szCs w:val="24"/>
          <w:lang w:val="en-GB"/>
        </w:rPr>
        <w:t xml:space="preserve">; </w:t>
      </w:r>
      <w:r w:rsidRPr="00707A38">
        <w:rPr>
          <w:rFonts w:ascii="Times New Roman" w:hAnsi="Times New Roman" w:cs="Times New Roman"/>
          <w:sz w:val="24"/>
          <w:szCs w:val="24"/>
          <w:shd w:val="clear" w:color="auto" w:fill="FFFFFF"/>
        </w:rPr>
        <w:t>Jones and Shoemaker, 1994</w:t>
      </w:r>
      <w:r w:rsidRPr="00707A38">
        <w:rPr>
          <w:rFonts w:ascii="Times New Roman" w:hAnsi="Times New Roman" w:cs="Times New Roman"/>
          <w:sz w:val="24"/>
          <w:szCs w:val="24"/>
          <w:lang w:val="en-GB"/>
        </w:rPr>
        <w:t>; Hackston and Milne 1996).</w:t>
      </w:r>
      <w:r w:rsidRPr="00707A38">
        <w:rPr>
          <w:rFonts w:ascii="Times New Roman" w:hAnsi="Times New Roman" w:cs="Times New Roman"/>
          <w:sz w:val="24"/>
          <w:szCs w:val="24"/>
          <w:shd w:val="clear" w:color="auto" w:fill="FFFFFF"/>
        </w:rPr>
        <w:t xml:space="preserve"> </w:t>
      </w:r>
      <w:r w:rsidR="00241090">
        <w:rPr>
          <w:rFonts w:ascii="Times New Roman" w:hAnsi="Times New Roman" w:cs="Times New Roman"/>
          <w:sz w:val="24"/>
          <w:szCs w:val="24"/>
          <w:shd w:val="clear" w:color="auto" w:fill="FFFFFF"/>
        </w:rPr>
        <w:t xml:space="preserve">Different </w:t>
      </w:r>
      <w:r w:rsidR="002A0E2C">
        <w:rPr>
          <w:rFonts w:ascii="Times New Roman" w:hAnsi="Times New Roman" w:cs="Times New Roman"/>
          <w:sz w:val="24"/>
          <w:szCs w:val="24"/>
          <w:shd w:val="clear" w:color="auto" w:fill="FFFFFF"/>
        </w:rPr>
        <w:t>coders are used to test the reliability.</w:t>
      </w:r>
      <w:r w:rsidR="00455FC0" w:rsidRPr="00455FC0">
        <w:rPr>
          <w:rFonts w:ascii="Times New Roman" w:hAnsi="Times New Roman" w:cs="Times New Roman"/>
          <w:sz w:val="24"/>
          <w:szCs w:val="24"/>
          <w:shd w:val="clear" w:color="auto" w:fill="FFFFFF"/>
          <w:lang w:val="en-US"/>
        </w:rPr>
        <w:t xml:space="preserve"> </w:t>
      </w:r>
      <w:r w:rsidR="00455FC0" w:rsidRPr="00707A38">
        <w:rPr>
          <w:rFonts w:ascii="Times New Roman" w:hAnsi="Times New Roman" w:cs="Times New Roman"/>
          <w:sz w:val="24"/>
          <w:szCs w:val="24"/>
          <w:shd w:val="clear" w:color="auto" w:fill="FFFFFF"/>
          <w:lang w:val="en-US"/>
        </w:rPr>
        <w:t xml:space="preserve">Equation 1 </w:t>
      </w:r>
      <w:r w:rsidR="00455FC0">
        <w:rPr>
          <w:rFonts w:ascii="Times New Roman" w:hAnsi="Times New Roman" w:cs="Times New Roman"/>
          <w:sz w:val="24"/>
          <w:szCs w:val="24"/>
          <w:shd w:val="clear" w:color="auto" w:fill="FFFFFF"/>
          <w:lang w:val="en-US"/>
        </w:rPr>
        <w:t xml:space="preserve">formulate </w:t>
      </w:r>
      <w:r w:rsidR="00455FC0" w:rsidRPr="00707A38">
        <w:rPr>
          <w:rFonts w:ascii="Times New Roman" w:hAnsi="Times New Roman" w:cs="Times New Roman"/>
          <w:sz w:val="24"/>
          <w:szCs w:val="24"/>
          <w:shd w:val="clear" w:color="auto" w:fill="FFFFFF"/>
          <w:lang w:val="en-US"/>
        </w:rPr>
        <w:t>to calculate the voluntary disclosure (V</w:t>
      </w:r>
      <w:r w:rsidR="00455FC0">
        <w:rPr>
          <w:rFonts w:ascii="Times New Roman" w:hAnsi="Times New Roman" w:cs="Times New Roman"/>
          <w:sz w:val="24"/>
          <w:szCs w:val="24"/>
          <w:shd w:val="clear" w:color="auto" w:fill="FFFFFF"/>
          <w:lang w:val="en-US"/>
        </w:rPr>
        <w:t>D</w:t>
      </w:r>
      <w:r w:rsidR="00455FC0" w:rsidRPr="00707A38">
        <w:rPr>
          <w:rFonts w:ascii="Times New Roman" w:hAnsi="Times New Roman" w:cs="Times New Roman"/>
          <w:sz w:val="24"/>
          <w:szCs w:val="24"/>
          <w:shd w:val="clear" w:color="auto" w:fill="FFFFFF"/>
          <w:lang w:val="en-US"/>
        </w:rPr>
        <w:t xml:space="preserve">) score. </w:t>
      </w:r>
    </w:p>
    <w:p w:rsidR="008924A6" w:rsidRDefault="00707A38" w:rsidP="00707A38">
      <w:pPr>
        <w:spacing w:after="200" w:line="480" w:lineRule="auto"/>
        <w:jc w:val="both"/>
        <w:rPr>
          <w:rFonts w:ascii="Times New Roman" w:hAnsi="Times New Roman" w:cs="Times New Roman"/>
          <w:sz w:val="24"/>
          <w:szCs w:val="24"/>
          <w:shd w:val="clear" w:color="auto" w:fill="FFFFFF"/>
          <w:lang w:val="en-US"/>
        </w:rPr>
      </w:pPr>
      <m:oMath>
        <m:r>
          <w:rPr>
            <w:rFonts w:ascii="Cambria Math" w:hAnsi="Cambria Math" w:cs="Times New Roman"/>
            <w:sz w:val="24"/>
            <w:szCs w:val="24"/>
            <w:shd w:val="clear" w:color="auto" w:fill="FFFFFF"/>
            <w:lang w:val="en-US"/>
          </w:rPr>
          <m:t>VD Score= ∑Score of all categories÷Number of items</m:t>
        </m:r>
      </m:oMath>
      <w:r w:rsidRPr="00707A38">
        <w:rPr>
          <w:rFonts w:ascii="Times New Roman" w:hAnsi="Times New Roman" w:cs="Times New Roman"/>
          <w:sz w:val="24"/>
          <w:szCs w:val="24"/>
          <w:shd w:val="clear" w:color="auto" w:fill="FFFFFF"/>
          <w:lang w:val="en-US"/>
        </w:rPr>
        <w:t xml:space="preserve">        </w:t>
      </w:r>
      <w:r w:rsidR="008924A6">
        <w:rPr>
          <w:rFonts w:ascii="Times New Roman" w:hAnsi="Times New Roman" w:cs="Times New Roman"/>
          <w:sz w:val="24"/>
          <w:szCs w:val="24"/>
          <w:shd w:val="clear" w:color="auto" w:fill="FFFFFF"/>
          <w:lang w:val="en-US"/>
        </w:rPr>
        <w:t>Equation (1)</w:t>
      </w:r>
    </w:p>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Table 1 </w:t>
      </w:r>
      <w:r w:rsidR="003D37F6">
        <w:rPr>
          <w:rFonts w:ascii="Times New Roman" w:hAnsi="Times New Roman" w:cs="Times New Roman"/>
          <w:sz w:val="20"/>
          <w:szCs w:val="20"/>
        </w:rPr>
        <w:t>V</w:t>
      </w:r>
      <w:r w:rsidRPr="00707A38">
        <w:rPr>
          <w:rFonts w:ascii="Times New Roman" w:hAnsi="Times New Roman" w:cs="Times New Roman"/>
          <w:sz w:val="20"/>
          <w:szCs w:val="20"/>
        </w:rPr>
        <w:t>oluntary disclosure index</w:t>
      </w:r>
      <w:r w:rsidR="003D37F6">
        <w:rPr>
          <w:rFonts w:ascii="Times New Roman" w:hAnsi="Times New Roman" w:cs="Times New Roman"/>
          <w:sz w:val="20"/>
          <w:szCs w:val="20"/>
        </w:rPr>
        <w:t xml:space="preserve"> categories</w:t>
      </w:r>
      <w:r w:rsidRPr="00707A38">
        <w:rPr>
          <w:rFonts w:ascii="Times New Roman" w:hAnsi="Times New Roman" w:cs="Times New Roman"/>
          <w:sz w:val="20"/>
          <w:szCs w:val="20"/>
        </w:rPr>
        <w:t>.</w:t>
      </w:r>
    </w:p>
    <w:tbl>
      <w:tblPr>
        <w:tblW w:w="8000" w:type="dxa"/>
        <w:tblBorders>
          <w:top w:val="single" w:sz="4" w:space="0" w:color="auto"/>
          <w:bottom w:val="single" w:sz="4" w:space="0" w:color="auto"/>
        </w:tblBorders>
        <w:tblLook w:val="04A0" w:firstRow="1" w:lastRow="0" w:firstColumn="1" w:lastColumn="0" w:noHBand="0" w:noVBand="1"/>
      </w:tblPr>
      <w:tblGrid>
        <w:gridCol w:w="4000"/>
        <w:gridCol w:w="4000"/>
      </w:tblGrid>
      <w:tr w:rsidR="00707A38" w:rsidRPr="00707A38" w:rsidTr="00BC1F2B">
        <w:trPr>
          <w:trHeight w:val="330"/>
        </w:trPr>
        <w:tc>
          <w:tcPr>
            <w:tcW w:w="4000" w:type="dxa"/>
            <w:tcBorders>
              <w:top w:val="single" w:sz="4" w:space="0" w:color="auto"/>
              <w:bottom w:val="single" w:sz="4" w:space="0" w:color="auto"/>
            </w:tcBorders>
            <w:shd w:val="clear" w:color="auto" w:fill="auto"/>
            <w:noWrap/>
            <w:vAlign w:val="bottom"/>
            <w:hideMark/>
          </w:tcPr>
          <w:p w:rsidR="00707A38" w:rsidRPr="00707A38" w:rsidRDefault="00621D9A" w:rsidP="00707A38">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C</w:t>
            </w:r>
            <w:r w:rsidR="00707A38" w:rsidRPr="00707A38">
              <w:rPr>
                <w:rFonts w:ascii="Times New Roman" w:eastAsia="Times New Roman" w:hAnsi="Times New Roman" w:cs="Times New Roman"/>
                <w:sz w:val="20"/>
                <w:szCs w:val="20"/>
                <w:lang w:eastAsia="en-IN"/>
              </w:rPr>
              <w:t xml:space="preserve">ategories </w:t>
            </w:r>
          </w:p>
        </w:tc>
        <w:tc>
          <w:tcPr>
            <w:tcW w:w="4000" w:type="dxa"/>
            <w:tcBorders>
              <w:top w:val="single" w:sz="4" w:space="0" w:color="auto"/>
              <w:bottom w:val="single" w:sz="4" w:space="0" w:color="auto"/>
            </w:tcBorders>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 xml:space="preserve">Resources </w:t>
            </w:r>
          </w:p>
        </w:tc>
      </w:tr>
      <w:tr w:rsidR="00707A38" w:rsidRPr="00707A38" w:rsidTr="00BC1F2B">
        <w:trPr>
          <w:trHeight w:val="506"/>
        </w:trPr>
        <w:tc>
          <w:tcPr>
            <w:tcW w:w="4000" w:type="dxa"/>
            <w:tcBorders>
              <w:top w:val="single" w:sz="4" w:space="0" w:color="auto"/>
            </w:tcBorders>
            <w:shd w:val="clear" w:color="auto" w:fill="auto"/>
            <w:noWrap/>
            <w:vAlign w:val="bottom"/>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A Background about the NBFC –MFI corporate information</w:t>
            </w:r>
            <w:r w:rsidR="00185F37">
              <w:rPr>
                <w:rFonts w:ascii="Times New Roman" w:eastAsia="Times New Roman" w:hAnsi="Times New Roman" w:cs="Times New Roman"/>
                <w:sz w:val="20"/>
                <w:szCs w:val="20"/>
                <w:lang w:eastAsia="en-IN"/>
              </w:rPr>
              <w:t>- BG</w:t>
            </w:r>
            <w:r w:rsidRPr="00707A38">
              <w:rPr>
                <w:rFonts w:ascii="Times New Roman" w:eastAsia="Times New Roman" w:hAnsi="Times New Roman" w:cs="Times New Roman"/>
                <w:sz w:val="20"/>
                <w:szCs w:val="20"/>
                <w:lang w:eastAsia="en-IN"/>
              </w:rPr>
              <w:t xml:space="preserve"> (08):</w:t>
            </w:r>
          </w:p>
        </w:tc>
        <w:tc>
          <w:tcPr>
            <w:tcW w:w="4000" w:type="dxa"/>
            <w:tcBorders>
              <w:top w:val="single" w:sz="4" w:space="0" w:color="auto"/>
            </w:tcBorders>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Elfeky, M. I. (2017). Barako (2007)</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B Corporate Strategy</w:t>
            </w:r>
            <w:r w:rsidR="00185F37">
              <w:rPr>
                <w:rFonts w:ascii="Times New Roman" w:eastAsia="Times New Roman" w:hAnsi="Times New Roman" w:cs="Times New Roman"/>
                <w:sz w:val="20"/>
                <w:szCs w:val="20"/>
                <w:lang w:eastAsia="en-IN"/>
              </w:rPr>
              <w:t>- CG</w:t>
            </w:r>
            <w:r w:rsidRPr="00707A38">
              <w:rPr>
                <w:rFonts w:ascii="Times New Roman" w:eastAsia="Times New Roman" w:hAnsi="Times New Roman" w:cs="Times New Roman"/>
                <w:sz w:val="20"/>
                <w:szCs w:val="20"/>
                <w:lang w:eastAsia="en-IN"/>
              </w:rPr>
              <w:t xml:space="preserve"> (04):</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Elfeky, (2017).</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C Financial Performance</w:t>
            </w:r>
            <w:r w:rsidR="00185F37">
              <w:rPr>
                <w:rFonts w:ascii="Times New Roman" w:eastAsia="Times New Roman" w:hAnsi="Times New Roman" w:cs="Times New Roman"/>
                <w:sz w:val="20"/>
                <w:szCs w:val="20"/>
                <w:lang w:eastAsia="en-IN"/>
              </w:rPr>
              <w:t>- FP</w:t>
            </w:r>
            <w:r w:rsidRPr="00707A38">
              <w:rPr>
                <w:rFonts w:ascii="Times New Roman" w:eastAsia="Times New Roman" w:hAnsi="Times New Roman" w:cs="Times New Roman"/>
                <w:sz w:val="20"/>
                <w:szCs w:val="20"/>
                <w:lang w:eastAsia="en-IN"/>
              </w:rPr>
              <w:t xml:space="preserve"> (11)</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Elfeky, (2017); Barako (2007); Quayes and Hasan (2014).</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 xml:space="preserve">D Forward-looking information </w:t>
            </w:r>
            <w:r w:rsidR="00185F37">
              <w:rPr>
                <w:rFonts w:ascii="Times New Roman" w:eastAsia="Times New Roman" w:hAnsi="Times New Roman" w:cs="Times New Roman"/>
                <w:sz w:val="20"/>
                <w:szCs w:val="20"/>
                <w:lang w:eastAsia="en-IN"/>
              </w:rPr>
              <w:t>-FLI</w:t>
            </w:r>
            <w:r w:rsidRPr="00707A38">
              <w:rPr>
                <w:rFonts w:ascii="Times New Roman" w:eastAsia="Times New Roman" w:hAnsi="Times New Roman" w:cs="Times New Roman"/>
                <w:sz w:val="20"/>
                <w:szCs w:val="20"/>
                <w:lang w:eastAsia="en-IN"/>
              </w:rPr>
              <w:t>(9)</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Elfeky, (2017 );</w:t>
            </w:r>
            <w:r w:rsidRPr="00707A38">
              <w:rPr>
                <w:rFonts w:ascii="Times New Roman" w:eastAsia="Times New Roman" w:hAnsi="Times New Roman" w:cs="Times New Roman"/>
                <w:sz w:val="20"/>
                <w:szCs w:val="20"/>
                <w:lang w:eastAsia="en-IN"/>
              </w:rPr>
              <w:t xml:space="preserve"> Gadarowaski and Sinha, (2007)</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E Social Performance</w:t>
            </w:r>
            <w:r w:rsidR="00185F37">
              <w:rPr>
                <w:rFonts w:ascii="Times New Roman" w:eastAsia="Times New Roman" w:hAnsi="Times New Roman" w:cs="Times New Roman"/>
                <w:sz w:val="20"/>
                <w:szCs w:val="20"/>
                <w:lang w:eastAsia="en-IN"/>
              </w:rPr>
              <w:t>- SP</w:t>
            </w:r>
            <w:r w:rsidRPr="00707A38">
              <w:rPr>
                <w:rFonts w:ascii="Times New Roman" w:eastAsia="Times New Roman" w:hAnsi="Times New Roman" w:cs="Times New Roman"/>
                <w:sz w:val="20"/>
                <w:szCs w:val="20"/>
                <w:lang w:eastAsia="en-IN"/>
              </w:rPr>
              <w:t>(7)</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Htay et al. (2012);Gadarowaski and Sinha, (2007)</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 xml:space="preserve">F Human Intellectual and Capital </w:t>
            </w:r>
            <w:r w:rsidR="00185F37">
              <w:rPr>
                <w:rFonts w:ascii="Times New Roman" w:eastAsia="Times New Roman" w:hAnsi="Times New Roman" w:cs="Times New Roman"/>
                <w:sz w:val="20"/>
                <w:szCs w:val="20"/>
                <w:lang w:eastAsia="en-IN"/>
              </w:rPr>
              <w:t xml:space="preserve">–HIC </w:t>
            </w:r>
            <w:r w:rsidRPr="00707A38">
              <w:rPr>
                <w:rFonts w:ascii="Times New Roman" w:eastAsia="Times New Roman" w:hAnsi="Times New Roman" w:cs="Times New Roman"/>
                <w:sz w:val="20"/>
                <w:szCs w:val="20"/>
                <w:lang w:eastAsia="en-IN"/>
              </w:rPr>
              <w:t>(9)</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Elfeky, (2017) ; Barako, 2007)</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 xml:space="preserve">G Corporate Social Responsibility </w:t>
            </w:r>
            <w:r w:rsidR="00185F37">
              <w:rPr>
                <w:rFonts w:ascii="Times New Roman" w:eastAsia="Times New Roman" w:hAnsi="Times New Roman" w:cs="Times New Roman"/>
                <w:sz w:val="20"/>
                <w:szCs w:val="20"/>
                <w:lang w:eastAsia="en-IN"/>
              </w:rPr>
              <w:t xml:space="preserve">– CSR </w:t>
            </w:r>
            <w:r w:rsidRPr="00707A38">
              <w:rPr>
                <w:rFonts w:ascii="Times New Roman" w:eastAsia="Times New Roman" w:hAnsi="Times New Roman" w:cs="Times New Roman"/>
                <w:sz w:val="20"/>
                <w:szCs w:val="20"/>
                <w:lang w:eastAsia="en-IN"/>
              </w:rPr>
              <w:t>(8)</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Barako 2007, Gadarowaski and Sinha, (2007)</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H Competitive Environment and Outlook</w:t>
            </w:r>
            <w:r w:rsidR="00185F37">
              <w:rPr>
                <w:rFonts w:ascii="Times New Roman" w:eastAsia="Times New Roman" w:hAnsi="Times New Roman" w:cs="Times New Roman"/>
                <w:sz w:val="20"/>
                <w:szCs w:val="20"/>
                <w:lang w:eastAsia="en-IN"/>
              </w:rPr>
              <w:t>-CEO</w:t>
            </w:r>
            <w:r w:rsidRPr="00707A38">
              <w:rPr>
                <w:rFonts w:ascii="Times New Roman" w:eastAsia="Times New Roman" w:hAnsi="Times New Roman" w:cs="Times New Roman"/>
                <w:sz w:val="20"/>
                <w:szCs w:val="20"/>
                <w:lang w:eastAsia="en-IN"/>
              </w:rPr>
              <w:t xml:space="preserve"> (6)</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Elfeky, M. I. (2017). Quayes and Hasan (2014).</w:t>
            </w:r>
          </w:p>
        </w:tc>
      </w:tr>
      <w:tr w:rsidR="00707A38" w:rsidRPr="00707A38" w:rsidTr="00BC1F2B">
        <w:trPr>
          <w:trHeight w:val="300"/>
        </w:trPr>
        <w:tc>
          <w:tcPr>
            <w:tcW w:w="4000" w:type="dxa"/>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 xml:space="preserve">I Risk Management </w:t>
            </w:r>
            <w:r w:rsidR="00185F37">
              <w:rPr>
                <w:rFonts w:ascii="Times New Roman" w:eastAsia="Times New Roman" w:hAnsi="Times New Roman" w:cs="Times New Roman"/>
                <w:sz w:val="20"/>
                <w:szCs w:val="20"/>
                <w:lang w:eastAsia="en-IN"/>
              </w:rPr>
              <w:t>-RM</w:t>
            </w:r>
            <w:r w:rsidRPr="00707A38">
              <w:rPr>
                <w:rFonts w:ascii="Times New Roman" w:eastAsia="Times New Roman" w:hAnsi="Times New Roman" w:cs="Times New Roman"/>
                <w:sz w:val="20"/>
                <w:szCs w:val="20"/>
                <w:lang w:eastAsia="en-IN"/>
              </w:rPr>
              <w:t>(13)</w:t>
            </w:r>
          </w:p>
        </w:tc>
        <w:tc>
          <w:tcPr>
            <w:tcW w:w="4000" w:type="dxa"/>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hAnsi="Times New Roman" w:cs="Times New Roman"/>
                <w:sz w:val="20"/>
                <w:szCs w:val="20"/>
                <w:shd w:val="clear" w:color="auto" w:fill="FFFFFF"/>
              </w:rPr>
              <w:t>Quayes and Hasan (2014).</w:t>
            </w:r>
          </w:p>
        </w:tc>
      </w:tr>
    </w:tbl>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Note The Author's contribution. Categories for the V</w:t>
      </w:r>
      <w:r w:rsidR="00CE0C43">
        <w:rPr>
          <w:rFonts w:ascii="Times New Roman" w:eastAsia="Times New Roman" w:hAnsi="Times New Roman" w:cs="Times New Roman"/>
          <w:sz w:val="20"/>
          <w:szCs w:val="20"/>
          <w:lang w:eastAsia="en-IN"/>
        </w:rPr>
        <w:t>D</w:t>
      </w:r>
      <w:r w:rsidRPr="00707A38">
        <w:rPr>
          <w:rFonts w:ascii="Times New Roman" w:eastAsia="Times New Roman" w:hAnsi="Times New Roman" w:cs="Times New Roman"/>
          <w:sz w:val="20"/>
          <w:szCs w:val="20"/>
          <w:lang w:eastAsia="en-IN"/>
        </w:rPr>
        <w:t xml:space="preserve"> index.</w:t>
      </w:r>
      <w:r w:rsidRPr="00707A38">
        <w:rPr>
          <w:rFonts w:ascii="Times New Roman" w:eastAsiaTheme="minorEastAsia" w:hAnsi="Times New Roman" w:cs="Times New Roman"/>
          <w:color w:val="000000" w:themeColor="dark1"/>
          <w:kern w:val="24"/>
          <w:sz w:val="20"/>
          <w:szCs w:val="20"/>
          <w:lang w:eastAsia="en-IN"/>
        </w:rPr>
        <w:t xml:space="preserve"> </w:t>
      </w:r>
      <w:r w:rsidRPr="00707A38">
        <w:rPr>
          <w:rFonts w:ascii="Times New Roman" w:eastAsiaTheme="minorEastAsia" w:hAnsi="Times New Roman" w:cs="Times New Roman"/>
          <w:color w:val="000000" w:themeColor="dark1"/>
          <w:kern w:val="24"/>
          <w:sz w:val="20"/>
          <w:szCs w:val="20"/>
          <w:lang w:val="en-US" w:eastAsia="en-IN"/>
        </w:rPr>
        <w:t>Abeywardana &amp;Panditharathna (2016)</w:t>
      </w:r>
    </w:p>
    <w:p w:rsidR="00707A38" w:rsidRPr="00707A38" w:rsidRDefault="00707A38" w:rsidP="00707A38">
      <w:pPr>
        <w:spacing w:line="480" w:lineRule="auto"/>
        <w:jc w:val="both"/>
        <w:rPr>
          <w:rFonts w:ascii="Times New Roman" w:hAnsi="Times New Roman" w:cs="Times New Roman"/>
          <w:sz w:val="24"/>
          <w:szCs w:val="24"/>
        </w:rPr>
      </w:pPr>
    </w:p>
    <w:p w:rsidR="00707A38" w:rsidRPr="00707A38" w:rsidRDefault="00707A38" w:rsidP="00707A38">
      <w:pPr>
        <w:spacing w:line="480" w:lineRule="auto"/>
        <w:jc w:val="both"/>
        <w:rPr>
          <w:rFonts w:ascii="Times New Roman" w:hAnsi="Times New Roman" w:cs="Times New Roman"/>
          <w:sz w:val="24"/>
          <w:szCs w:val="24"/>
        </w:rPr>
      </w:pPr>
      <w:r w:rsidRPr="00707A38">
        <w:rPr>
          <w:rFonts w:ascii="Times New Roman" w:hAnsi="Times New Roman" w:cs="Times New Roman"/>
          <w:sz w:val="24"/>
          <w:szCs w:val="24"/>
        </w:rPr>
        <w:t xml:space="preserve"> The study follows the unweighted (Choi, 1973; Stanga, 1976)  disclosure index as they are non-biased and later can be </w:t>
      </w:r>
      <w:r w:rsidR="00471DA2" w:rsidRPr="00707A38">
        <w:rPr>
          <w:rFonts w:ascii="Times New Roman" w:hAnsi="Times New Roman" w:cs="Times New Roman"/>
          <w:sz w:val="24"/>
          <w:szCs w:val="24"/>
        </w:rPr>
        <w:t>shaped</w:t>
      </w:r>
      <w:r w:rsidRPr="00707A38">
        <w:rPr>
          <w:rFonts w:ascii="Times New Roman" w:hAnsi="Times New Roman" w:cs="Times New Roman"/>
          <w:sz w:val="24"/>
          <w:szCs w:val="24"/>
        </w:rPr>
        <w:t xml:space="preserve"> according to the need of the study (</w:t>
      </w:r>
      <w:r w:rsidR="004E3F3A">
        <w:rPr>
          <w:rFonts w:ascii="Times New Roman" w:hAnsi="Times New Roman" w:cs="Times New Roman"/>
          <w:sz w:val="24"/>
          <w:szCs w:val="24"/>
        </w:rPr>
        <w:t>Cooke, 1989;  Raffournier, 1995; Owusu-Ansah, 1998</w:t>
      </w:r>
      <w:r w:rsidRPr="00707A38">
        <w:rPr>
          <w:rFonts w:ascii="Times New Roman" w:hAnsi="Times New Roman" w:cs="Times New Roman"/>
          <w:sz w:val="24"/>
          <w:szCs w:val="24"/>
        </w:rPr>
        <w:t xml:space="preserve">). Although it comes with a drawback, it gives all the items the same weight. </w:t>
      </w:r>
    </w:p>
    <w:p w:rsidR="00707A38" w:rsidRPr="00707A38" w:rsidRDefault="00707A38" w:rsidP="00707A38">
      <w:pPr>
        <w:spacing w:before="100" w:beforeAutospacing="1" w:after="100" w:afterAutospacing="1" w:line="480" w:lineRule="auto"/>
        <w:jc w:val="both"/>
        <w:rPr>
          <w:rFonts w:ascii="Times New Roman" w:hAnsi="Times New Roman" w:cs="Times New Roman"/>
          <w:b/>
          <w:sz w:val="24"/>
          <w:szCs w:val="24"/>
          <w:lang w:val="en-US"/>
        </w:rPr>
      </w:pPr>
      <w:r w:rsidRPr="00707A38">
        <w:rPr>
          <w:rFonts w:ascii="Times New Roman" w:hAnsi="Times New Roman" w:cs="Times New Roman"/>
          <w:b/>
          <w:sz w:val="24"/>
          <w:szCs w:val="24"/>
          <w:lang w:val="en-US"/>
        </w:rPr>
        <w:t xml:space="preserve">3.2.2 Efficiency Estimation </w:t>
      </w:r>
    </w:p>
    <w:p w:rsidR="00707A38" w:rsidRPr="00707A38" w:rsidRDefault="00663430" w:rsidP="00707A38">
      <w:pPr>
        <w:spacing w:before="100" w:beforeAutospacing="1" w:after="100" w:afterAutospacing="1"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Firms' efficiency</w:t>
      </w:r>
      <w:r w:rsidR="00707A38" w:rsidRPr="00707A38">
        <w:rPr>
          <w:rFonts w:ascii="Times New Roman" w:hAnsi="Times New Roman" w:cs="Times New Roman"/>
          <w:sz w:val="24"/>
          <w:szCs w:val="24"/>
          <w:shd w:val="clear" w:color="auto" w:fill="FFFFFF"/>
        </w:rPr>
        <w:t xml:space="preserve"> is estimated through </w:t>
      </w:r>
      <w:r>
        <w:rPr>
          <w:rFonts w:ascii="Times New Roman" w:hAnsi="Times New Roman" w:cs="Times New Roman"/>
          <w:sz w:val="24"/>
          <w:szCs w:val="24"/>
          <w:shd w:val="clear" w:color="auto" w:fill="FFFFFF"/>
        </w:rPr>
        <w:t>DE</w:t>
      </w:r>
      <w:r w:rsidR="00D50049">
        <w:rPr>
          <w:rFonts w:ascii="Times New Roman" w:hAnsi="Times New Roman" w:cs="Times New Roman"/>
          <w:sz w:val="24"/>
          <w:szCs w:val="24"/>
          <w:shd w:val="clear" w:color="auto" w:fill="FFFFFF"/>
        </w:rPr>
        <w:t>A, a non – parametric technique, which require</w:t>
      </w:r>
      <w:r w:rsidR="0083187D">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0083187D">
        <w:rPr>
          <w:rFonts w:ascii="Times New Roman" w:hAnsi="Times New Roman" w:cs="Times New Roman"/>
          <w:sz w:val="24"/>
          <w:szCs w:val="24"/>
          <w:shd w:val="clear" w:color="auto" w:fill="FFFFFF"/>
        </w:rPr>
        <w:t xml:space="preserve">the </w:t>
      </w:r>
      <w:r w:rsidR="00D50049">
        <w:rPr>
          <w:rFonts w:ascii="Times New Roman" w:hAnsi="Times New Roman" w:cs="Times New Roman"/>
          <w:sz w:val="24"/>
          <w:szCs w:val="24"/>
          <w:shd w:val="clear" w:color="auto" w:fill="FFFFFF"/>
        </w:rPr>
        <w:t>identification of</w:t>
      </w:r>
      <w:r w:rsidR="00707A38" w:rsidRPr="00707A38">
        <w:rPr>
          <w:rFonts w:ascii="Times New Roman" w:hAnsi="Times New Roman" w:cs="Times New Roman"/>
          <w:sz w:val="24"/>
          <w:szCs w:val="24"/>
          <w:shd w:val="clear" w:color="auto" w:fill="FFFFFF"/>
        </w:rPr>
        <w:t xml:space="preserve"> input and output variables (Table 2). Total assets, number of employees, and operating expenses are taken as input variables for both models. The output variables for the financial efficiency </w:t>
      </w:r>
      <w:r w:rsidR="00BA6C6C">
        <w:rPr>
          <w:rFonts w:ascii="Times New Roman" w:hAnsi="Times New Roman" w:cs="Times New Roman"/>
          <w:sz w:val="24"/>
          <w:szCs w:val="24"/>
          <w:shd w:val="clear" w:color="auto" w:fill="FFFFFF"/>
        </w:rPr>
        <w:t>are</w:t>
      </w:r>
      <w:r w:rsidR="00707A38" w:rsidRPr="00707A38">
        <w:rPr>
          <w:rFonts w:ascii="Times New Roman" w:hAnsi="Times New Roman" w:cs="Times New Roman"/>
          <w:sz w:val="24"/>
          <w:szCs w:val="24"/>
          <w:shd w:val="clear" w:color="auto" w:fill="FFFFFF"/>
        </w:rPr>
        <w:t xml:space="preserve"> </w:t>
      </w:r>
      <w:r w:rsidR="00BA6C6C">
        <w:rPr>
          <w:rFonts w:ascii="Times New Roman" w:hAnsi="Times New Roman" w:cs="Times New Roman"/>
          <w:sz w:val="24"/>
          <w:szCs w:val="24"/>
          <w:shd w:val="clear" w:color="auto" w:fill="FFFFFF"/>
        </w:rPr>
        <w:t xml:space="preserve">the </w:t>
      </w:r>
      <w:r w:rsidR="00707A38" w:rsidRPr="00707A38">
        <w:rPr>
          <w:rFonts w:ascii="Times New Roman" w:hAnsi="Times New Roman" w:cs="Times New Roman"/>
          <w:sz w:val="24"/>
          <w:szCs w:val="24"/>
          <w:shd w:val="clear" w:color="auto" w:fill="FFFFFF"/>
        </w:rPr>
        <w:t>gross loan portfolio and the income for the financial</w:t>
      </w:r>
      <w:r w:rsidR="00BA6C6C">
        <w:rPr>
          <w:rFonts w:ascii="Times New Roman" w:hAnsi="Times New Roman" w:cs="Times New Roman"/>
          <w:sz w:val="24"/>
          <w:szCs w:val="24"/>
          <w:shd w:val="clear" w:color="auto" w:fill="FFFFFF"/>
        </w:rPr>
        <w:t xml:space="preserve"> services</w:t>
      </w:r>
      <w:r w:rsidR="0039038B">
        <w:rPr>
          <w:rFonts w:ascii="Times New Roman" w:hAnsi="Times New Roman" w:cs="Times New Roman"/>
          <w:sz w:val="24"/>
          <w:szCs w:val="24"/>
          <w:shd w:val="clear" w:color="auto" w:fill="FFFFFF"/>
        </w:rPr>
        <w:t>,</w:t>
      </w:r>
      <w:r w:rsidR="00BA6C6C">
        <w:rPr>
          <w:rFonts w:ascii="Times New Roman" w:hAnsi="Times New Roman" w:cs="Times New Roman"/>
          <w:sz w:val="24"/>
          <w:szCs w:val="24"/>
          <w:shd w:val="clear" w:color="auto" w:fill="FFFFFF"/>
        </w:rPr>
        <w:t xml:space="preserve"> and for the social efficiency</w:t>
      </w:r>
      <w:r w:rsidR="00483540">
        <w:rPr>
          <w:rFonts w:ascii="Times New Roman" w:hAnsi="Times New Roman" w:cs="Times New Roman"/>
          <w:sz w:val="24"/>
          <w:szCs w:val="24"/>
          <w:shd w:val="clear" w:color="auto" w:fill="FFFFFF"/>
        </w:rPr>
        <w:t xml:space="preserve"> </w:t>
      </w:r>
      <w:r w:rsidR="00BA6C6C">
        <w:rPr>
          <w:rFonts w:ascii="Times New Roman" w:hAnsi="Times New Roman" w:cs="Times New Roman"/>
          <w:sz w:val="24"/>
          <w:szCs w:val="24"/>
          <w:shd w:val="clear" w:color="auto" w:fill="FFFFFF"/>
        </w:rPr>
        <w:t xml:space="preserve">is </w:t>
      </w:r>
      <w:r w:rsidR="00707A38" w:rsidRPr="00707A38">
        <w:rPr>
          <w:rFonts w:ascii="Times New Roman" w:hAnsi="Times New Roman" w:cs="Times New Roman"/>
          <w:sz w:val="24"/>
          <w:szCs w:val="24"/>
          <w:shd w:val="clear" w:color="auto" w:fill="FFFFFF"/>
        </w:rPr>
        <w:t xml:space="preserve">the active borrowers. </w:t>
      </w:r>
    </w:p>
    <w:p w:rsidR="00707A38" w:rsidRPr="00707A38" w:rsidRDefault="00707A38" w:rsidP="00707A38">
      <w:pPr>
        <w:spacing w:before="100" w:beforeAutospacing="1" w:after="100" w:afterAutospacing="1" w:line="480" w:lineRule="auto"/>
        <w:jc w:val="both"/>
        <w:rPr>
          <w:rFonts w:ascii="Times New Roman" w:hAnsi="Times New Roman" w:cs="Times New Roman"/>
          <w:sz w:val="24"/>
          <w:szCs w:val="24"/>
        </w:rPr>
      </w:pPr>
      <w:r w:rsidRPr="00707A38">
        <w:rPr>
          <w:rFonts w:ascii="Times New Roman" w:hAnsi="Times New Roman" w:cs="Times New Roman"/>
          <w:sz w:val="24"/>
          <w:szCs w:val="24"/>
        </w:rPr>
        <w:t xml:space="preserve">The model selected for estimating efficiency is the Constant </w:t>
      </w:r>
      <w:r w:rsidRPr="003C3A9F">
        <w:rPr>
          <w:rFonts w:ascii="Times New Roman" w:hAnsi="Times New Roman" w:cs="Times New Roman"/>
          <w:sz w:val="24"/>
          <w:szCs w:val="24"/>
        </w:rPr>
        <w:t xml:space="preserve">Returns to scale technical efficiency (CRSTE) due to </w:t>
      </w:r>
      <w:r w:rsidR="004C0FD6" w:rsidRPr="003C3A9F">
        <w:rPr>
          <w:rFonts w:ascii="Times New Roman" w:hAnsi="Times New Roman" w:cs="Times New Roman"/>
          <w:sz w:val="24"/>
          <w:szCs w:val="24"/>
        </w:rPr>
        <w:t xml:space="preserve">the </w:t>
      </w:r>
      <w:r w:rsidRPr="003C3A9F">
        <w:rPr>
          <w:rFonts w:ascii="Times New Roman" w:hAnsi="Times New Roman" w:cs="Times New Roman"/>
          <w:sz w:val="24"/>
          <w:szCs w:val="24"/>
        </w:rPr>
        <w:t>small s</w:t>
      </w:r>
      <w:r w:rsidR="004C0FD6" w:rsidRPr="003C3A9F">
        <w:rPr>
          <w:rFonts w:ascii="Times New Roman" w:hAnsi="Times New Roman" w:cs="Times New Roman"/>
          <w:sz w:val="24"/>
          <w:szCs w:val="24"/>
        </w:rPr>
        <w:t>am</w:t>
      </w:r>
      <w:r w:rsidRPr="003C3A9F">
        <w:rPr>
          <w:rFonts w:ascii="Times New Roman" w:hAnsi="Times New Roman" w:cs="Times New Roman"/>
          <w:sz w:val="24"/>
          <w:szCs w:val="24"/>
        </w:rPr>
        <w:t>ple and the output</w:t>
      </w:r>
      <w:r w:rsidR="004C0FD6" w:rsidRPr="003C3A9F">
        <w:rPr>
          <w:rFonts w:ascii="Times New Roman" w:hAnsi="Times New Roman" w:cs="Times New Roman"/>
          <w:sz w:val="24"/>
          <w:szCs w:val="24"/>
        </w:rPr>
        <w:t>-</w:t>
      </w:r>
      <w:r w:rsidR="005B6C08">
        <w:rPr>
          <w:rFonts w:ascii="Times New Roman" w:hAnsi="Times New Roman" w:cs="Times New Roman"/>
          <w:sz w:val="24"/>
          <w:szCs w:val="24"/>
        </w:rPr>
        <w:t>orientated model (Huguenin, 2015</w:t>
      </w:r>
      <w:r w:rsidRPr="003C3A9F">
        <w:rPr>
          <w:rFonts w:ascii="Times New Roman" w:hAnsi="Times New Roman" w:cs="Times New Roman"/>
          <w:sz w:val="24"/>
          <w:szCs w:val="24"/>
        </w:rPr>
        <w:t>).</w:t>
      </w:r>
      <w:r w:rsidRPr="00707A38">
        <w:rPr>
          <w:rFonts w:ascii="Times New Roman" w:hAnsi="Times New Roman" w:cs="Times New Roman"/>
          <w:sz w:val="24"/>
          <w:szCs w:val="24"/>
        </w:rPr>
        <w:t xml:space="preserve"> The output-oriented model </w:t>
      </w:r>
      <w:r w:rsidR="004C0FD6">
        <w:rPr>
          <w:rFonts w:ascii="Times New Roman" w:hAnsi="Times New Roman" w:cs="Times New Roman"/>
          <w:sz w:val="24"/>
          <w:szCs w:val="24"/>
        </w:rPr>
        <w:t>focuse</w:t>
      </w:r>
      <w:r w:rsidRPr="00707A38">
        <w:rPr>
          <w:rFonts w:ascii="Times New Roman" w:hAnsi="Times New Roman" w:cs="Times New Roman"/>
          <w:sz w:val="24"/>
          <w:szCs w:val="24"/>
        </w:rPr>
        <w:t>s on maximizing the output for a level of input</w:t>
      </w:r>
      <w:r w:rsidR="003C3A9F">
        <w:rPr>
          <w:rFonts w:ascii="Times New Roman" w:hAnsi="Times New Roman" w:cs="Times New Roman"/>
          <w:sz w:val="24"/>
          <w:szCs w:val="24"/>
        </w:rPr>
        <w:t>.</w:t>
      </w:r>
    </w:p>
    <w:p w:rsidR="00707A38" w:rsidRPr="00707A38" w:rsidRDefault="00707A38" w:rsidP="003C3A9F">
      <w:pPr>
        <w:spacing w:after="0" w:line="480" w:lineRule="auto"/>
        <w:jc w:val="both"/>
        <w:rPr>
          <w:rFonts w:ascii="Times New Roman" w:hAnsi="Times New Roman" w:cs="Times New Roman"/>
          <w:b/>
          <w:sz w:val="24"/>
          <w:szCs w:val="24"/>
          <w:lang w:val="en-US"/>
        </w:rPr>
      </w:pPr>
      <w:r w:rsidRPr="00707A38">
        <w:rPr>
          <w:rFonts w:ascii="Times New Roman" w:hAnsi="Times New Roman" w:cs="Times New Roman"/>
          <w:sz w:val="24"/>
          <w:szCs w:val="24"/>
          <w:lang w:val="en-US"/>
        </w:rPr>
        <w:t xml:space="preserve">CCR output-oriented model </w:t>
      </w:r>
    </w:p>
    <w:p w:rsidR="00707A38" w:rsidRPr="00707A38" w:rsidRDefault="003214E7" w:rsidP="00707A38">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lang w:val="en-US"/>
        </w:rPr>
      </w:pPr>
      <m:oMath>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lang w:val="en-US"/>
                  </w:rPr>
                  <m:t>max</m:t>
                </m:r>
              </m:e>
              <m:lim>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φ,λ,s+,s-</m:t>
                    </m:r>
                  </m:e>
                  <m:e>
                    <m:r>
                      <w:rPr>
                        <w:rFonts w:ascii="Cambria Math" w:hAnsi="Cambria Math" w:cs="Times New Roman"/>
                        <w:sz w:val="24"/>
                        <w:szCs w:val="24"/>
                        <w:lang w:val="en-US"/>
                      </w:rPr>
                      <m:t>Subjet to</m:t>
                    </m:r>
                  </m:e>
                </m:eqArr>
              </m:lim>
            </m:limLow>
          </m:fName>
          <m:e>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zo= φ+</m:t>
                </m:r>
                <m:r>
                  <m:rPr>
                    <m:sty m:val="p"/>
                  </m:rPr>
                  <w:rPr>
                    <w:rFonts w:ascii="Cambria Math" w:hAnsi="Cambria Math" w:cs="Cambria Math"/>
                    <w:sz w:val="24"/>
                    <w:szCs w:val="24"/>
                  </w:rPr>
                  <m:t>∈</m:t>
                </m:r>
                <m:d>
                  <m:dPr>
                    <m:ctrlPr>
                      <w:rPr>
                        <w:rFonts w:ascii="Cambria Math" w:hAnsi="Cambria Math" w:cs="Cambria Math"/>
                        <w:sz w:val="24"/>
                        <w:szCs w:val="24"/>
                      </w:rPr>
                    </m:ctrlPr>
                  </m:dPr>
                  <m:e>
                    <m:r>
                      <m:rPr>
                        <m:sty m:val="p"/>
                      </m:rPr>
                      <w:rPr>
                        <w:rFonts w:ascii="Cambria Math" w:hAnsi="Cambria Math"/>
                        <w:sz w:val="24"/>
                        <w:szCs w:val="24"/>
                      </w:rPr>
                      <m:t>eTs+ + eTs–</m:t>
                    </m:r>
                    <m:ctrlPr>
                      <w:rPr>
                        <w:rFonts w:ascii="Cambria Math" w:hAnsi="Cambria Math"/>
                        <w:sz w:val="24"/>
                        <w:szCs w:val="24"/>
                      </w:rPr>
                    </m:ctrlPr>
                  </m:e>
                </m:d>
                <m:ctrlPr>
                  <w:rPr>
                    <w:rFonts w:ascii="Cambria Math" w:hAnsi="Cambria Math"/>
                    <w:i/>
                    <w:sz w:val="24"/>
                    <w:szCs w:val="24"/>
                  </w:rPr>
                </m:ctrlPr>
              </m:e>
              <m:e>
                <m:r>
                  <m:rPr>
                    <m:sty m:val="p"/>
                  </m:rPr>
                  <w:rPr>
                    <w:rFonts w:ascii="Cambria Math" w:hAnsi="Cambria Math"/>
                    <w:sz w:val="24"/>
                    <w:szCs w:val="24"/>
                  </w:rPr>
                  <m:t>ΦYo- Yλ+ s+ =0</m:t>
                </m:r>
                <m:ctrlPr>
                  <w:rPr>
                    <w:rFonts w:ascii="Cambria Math" w:eastAsia="Cambria Math" w:hAnsi="Cambria Math" w:cs="Cambria Math"/>
                    <w:sz w:val="24"/>
                    <w:szCs w:val="24"/>
                  </w:rPr>
                </m:ctrlPr>
              </m:e>
              <m:e>
                <m:r>
                  <m:rPr>
                    <m:sty m:val="p"/>
                  </m:rPr>
                  <w:rPr>
                    <w:rFonts w:ascii="Cambria Math" w:hAnsi="Cambria Math"/>
                    <w:sz w:val="24"/>
                    <w:szCs w:val="24"/>
                  </w:rPr>
                  <m:t>Xλ + s– = Xo</m:t>
                </m:r>
                <m:ctrlPr>
                  <w:rPr>
                    <w:rFonts w:ascii="Cambria Math" w:eastAsia="Cambria Math" w:hAnsi="Cambria Math" w:cs="Cambria Math"/>
                    <w:sz w:val="24"/>
                    <w:szCs w:val="24"/>
                  </w:rPr>
                </m:ctrlPr>
              </m:e>
              <m:e>
                <m:r>
                  <w:rPr>
                    <w:rFonts w:ascii="Cambria Math" w:hAnsi="Cambria Math" w:cs="Times New Roman"/>
                    <w:sz w:val="24"/>
                    <w:szCs w:val="24"/>
                    <w:lang w:val="en-US"/>
                  </w:rPr>
                  <m:t>λ,s+,s-≥0</m:t>
                </m:r>
                <m:ctrlPr>
                  <w:rPr>
                    <w:rFonts w:ascii="Cambria Math" w:hAnsi="Cambria Math"/>
                    <w:i/>
                    <w:sz w:val="24"/>
                    <w:szCs w:val="24"/>
                  </w:rPr>
                </m:ctrlPr>
              </m:e>
            </m:eqArr>
          </m:e>
        </m:func>
      </m:oMath>
      <w:r w:rsidR="00707A38" w:rsidRPr="00707A38">
        <w:rPr>
          <w:rFonts w:ascii="Times New Roman" w:eastAsiaTheme="minorEastAsia" w:hAnsi="Times New Roman" w:cs="Times New Roman"/>
          <w:sz w:val="24"/>
          <w:szCs w:val="24"/>
          <w:lang w:val="en-US"/>
        </w:rPr>
        <w:t xml:space="preserve">  </w:t>
      </w:r>
      <w:r w:rsidR="00707A38" w:rsidRPr="00707A38">
        <w:rPr>
          <w:rFonts w:ascii="Times New Roman" w:eastAsiaTheme="minorEastAsia" w:hAnsi="Times New Roman" w:cs="Times New Roman"/>
          <w:sz w:val="24"/>
          <w:szCs w:val="24"/>
          <w:lang w:val="en-US"/>
        </w:rPr>
        <w:tab/>
        <w:t xml:space="preserve">                                                     Equation (2).</w:t>
      </w:r>
    </w:p>
    <w:p w:rsidR="00707A38" w:rsidRPr="00707A38" w:rsidRDefault="00707A38" w:rsidP="00707A38">
      <w:pPr>
        <w:spacing w:after="0" w:line="480" w:lineRule="auto"/>
        <w:jc w:val="both"/>
        <w:rPr>
          <w:rFonts w:ascii="Times New Roman" w:hAnsi="Times New Roman" w:cs="Times New Roman"/>
          <w:sz w:val="24"/>
          <w:szCs w:val="24"/>
          <w:lang w:val="en-US"/>
        </w:rPr>
      </w:pPr>
    </w:p>
    <w:p w:rsidR="004C0FD6" w:rsidRDefault="002D11C2" w:rsidP="002B352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07A38" w:rsidRPr="00707A38">
        <w:rPr>
          <w:rFonts w:ascii="Times New Roman" w:hAnsi="Times New Roman" w:cs="Times New Roman"/>
          <w:sz w:val="24"/>
          <w:szCs w:val="24"/>
          <w:lang w:val="en-US"/>
        </w:rPr>
        <w:t>he</w:t>
      </w:r>
      <w:r>
        <w:rPr>
          <w:rFonts w:ascii="Times New Roman" w:hAnsi="Times New Roman" w:cs="Times New Roman"/>
          <w:sz w:val="24"/>
          <w:szCs w:val="24"/>
          <w:lang w:val="en-US"/>
        </w:rPr>
        <w:t xml:space="preserve"> study adopts the</w:t>
      </w:r>
      <w:r w:rsidR="00707A38" w:rsidRPr="00707A38">
        <w:rPr>
          <w:rFonts w:ascii="Times New Roman" w:hAnsi="Times New Roman" w:cs="Times New Roman"/>
          <w:sz w:val="24"/>
          <w:szCs w:val="24"/>
          <w:lang w:val="en-US"/>
        </w:rPr>
        <w:t xml:space="preserve"> output-oriented CCR Model </w:t>
      </w:r>
      <w:r>
        <w:rPr>
          <w:rFonts w:ascii="Times New Roman" w:hAnsi="Times New Roman" w:cs="Times New Roman"/>
          <w:sz w:val="24"/>
          <w:szCs w:val="24"/>
          <w:lang w:val="en-US"/>
        </w:rPr>
        <w:t>(Eq 2).</w:t>
      </w:r>
      <w:r w:rsidR="008537EB">
        <w:rPr>
          <w:rFonts w:ascii="Times New Roman" w:hAnsi="Times New Roman" w:cs="Times New Roman"/>
          <w:sz w:val="24"/>
          <w:szCs w:val="24"/>
          <w:lang w:val="en-US"/>
        </w:rPr>
        <w:t xml:space="preserve"> </w:t>
      </w:r>
      <w:r w:rsidR="004C0FD6">
        <w:rPr>
          <w:rFonts w:ascii="Times New Roman" w:hAnsi="Times New Roman" w:cs="Times New Roman"/>
          <w:sz w:val="24"/>
          <w:szCs w:val="24"/>
          <w:lang w:val="en-US"/>
        </w:rPr>
        <w:t>The efficiency is achi</w:t>
      </w:r>
      <w:r w:rsidR="00CF0388">
        <w:rPr>
          <w:rFonts w:ascii="Times New Roman" w:hAnsi="Times New Roman" w:cs="Times New Roman"/>
          <w:sz w:val="24"/>
          <w:szCs w:val="24"/>
          <w:lang w:val="en-US"/>
        </w:rPr>
        <w:t>e</w:t>
      </w:r>
      <w:r w:rsidR="004C0FD6">
        <w:rPr>
          <w:rFonts w:ascii="Times New Roman" w:hAnsi="Times New Roman" w:cs="Times New Roman"/>
          <w:sz w:val="24"/>
          <w:szCs w:val="24"/>
          <w:lang w:val="en-US"/>
        </w:rPr>
        <w:t xml:space="preserve">ved if growth in the output variable is required and is denoted by </w:t>
      </w:r>
      <m:oMath>
        <m:r>
          <w:rPr>
            <w:rFonts w:ascii="Cambria Math" w:hAnsi="Cambria Math" w:cs="Times New Roman"/>
            <w:sz w:val="24"/>
            <w:szCs w:val="24"/>
            <w:lang w:val="en-US"/>
          </w:rPr>
          <m:t>φ</m:t>
        </m:r>
      </m:oMath>
      <w:r w:rsidR="004C0FD6">
        <w:rPr>
          <w:rFonts w:ascii="Times New Roman" w:eastAsiaTheme="minorEastAsia" w:hAnsi="Times New Roman" w:cs="Times New Roman"/>
          <w:sz w:val="24"/>
          <w:szCs w:val="24"/>
          <w:lang w:val="en-US"/>
        </w:rPr>
        <w:t xml:space="preserve">. The input and output combination is mentioned in table 2. </w:t>
      </w:r>
    </w:p>
    <w:p w:rsidR="00707A38" w:rsidRPr="00707A38" w:rsidRDefault="00707A38" w:rsidP="00707A38">
      <w:pPr>
        <w:spacing w:before="100" w:beforeAutospacing="1" w:after="100" w:afterAutospacing="1" w:line="240" w:lineRule="auto"/>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 xml:space="preserve">Table 2 Input and Output Combination </w:t>
      </w: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2816"/>
        <w:gridCol w:w="3807"/>
      </w:tblGrid>
      <w:tr w:rsidR="00707A38" w:rsidRPr="00707A38" w:rsidTr="00695F78">
        <w:trPr>
          <w:trHeight w:val="231"/>
        </w:trPr>
        <w:tc>
          <w:tcPr>
            <w:tcW w:w="2452" w:type="dxa"/>
            <w:tcBorders>
              <w:top w:val="single" w:sz="4" w:space="0" w:color="auto"/>
              <w:bottom w:val="single" w:sz="4" w:space="0" w:color="auto"/>
            </w:tcBorders>
          </w:tcPr>
          <w:p w:rsidR="00707A38" w:rsidRPr="00707A38" w:rsidRDefault="005A6660" w:rsidP="00707A38">
            <w:pPr>
              <w:jc w:val="both"/>
              <w:rPr>
                <w:rFonts w:ascii="Times New Roman" w:hAnsi="Times New Roman" w:cs="Times New Roman"/>
                <w:sz w:val="20"/>
                <w:szCs w:val="20"/>
                <w:lang w:val="en-US"/>
              </w:rPr>
            </w:pPr>
            <w:r>
              <w:rPr>
                <w:rFonts w:ascii="Times New Roman" w:hAnsi="Times New Roman" w:cs="Times New Roman"/>
                <w:sz w:val="20"/>
                <w:szCs w:val="20"/>
                <w:lang w:val="en-US"/>
              </w:rPr>
              <w:t>Models</w:t>
            </w:r>
            <w:r w:rsidR="00707A38" w:rsidRPr="00707A38">
              <w:rPr>
                <w:rFonts w:ascii="Times New Roman" w:hAnsi="Times New Roman" w:cs="Times New Roman"/>
                <w:sz w:val="20"/>
                <w:szCs w:val="20"/>
                <w:lang w:val="en-US"/>
              </w:rPr>
              <w:t xml:space="preserve"> </w:t>
            </w:r>
          </w:p>
        </w:tc>
        <w:tc>
          <w:tcPr>
            <w:tcW w:w="2816"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Input</w:t>
            </w:r>
          </w:p>
        </w:tc>
        <w:tc>
          <w:tcPr>
            <w:tcW w:w="3807"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 xml:space="preserve">Output </w:t>
            </w:r>
          </w:p>
        </w:tc>
      </w:tr>
      <w:tr w:rsidR="00707A38" w:rsidRPr="00707A38" w:rsidTr="00695F78">
        <w:trPr>
          <w:trHeight w:val="1421"/>
        </w:trPr>
        <w:tc>
          <w:tcPr>
            <w:tcW w:w="2452" w:type="dxa"/>
            <w:tcBorders>
              <w:top w:val="single" w:sz="4" w:space="0" w:color="auto"/>
            </w:tcBorders>
          </w:tcPr>
          <w:p w:rsidR="00707A38" w:rsidRPr="00707A38" w:rsidRDefault="00707A38" w:rsidP="00707A38">
            <w:pPr>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Financial Efficiency(FE)</w:t>
            </w:r>
          </w:p>
          <w:p w:rsidR="001F591C" w:rsidRPr="00707A38" w:rsidRDefault="001F591C" w:rsidP="001F591C">
            <w:pPr>
              <w:jc w:val="both"/>
              <w:rPr>
                <w:rFonts w:ascii="Times New Roman" w:hAnsi="Times New Roman" w:cs="Times New Roman"/>
                <w:bCs/>
                <w:sz w:val="20"/>
                <w:szCs w:val="20"/>
              </w:rPr>
            </w:pPr>
            <w:r>
              <w:rPr>
                <w:rFonts w:ascii="Times New Roman" w:hAnsi="Times New Roman" w:cs="Times New Roman"/>
                <w:bCs/>
                <w:sz w:val="20"/>
                <w:szCs w:val="20"/>
              </w:rPr>
              <w:t xml:space="preserve">(Widiarto and Emrouznejad, </w:t>
            </w:r>
            <w:r w:rsidRPr="00707A38">
              <w:rPr>
                <w:rFonts w:ascii="Times New Roman" w:hAnsi="Times New Roman" w:cs="Times New Roman"/>
                <w:bCs/>
                <w:sz w:val="20"/>
                <w:szCs w:val="20"/>
              </w:rPr>
              <w:t>2015</w:t>
            </w:r>
            <w:r>
              <w:rPr>
                <w:rFonts w:ascii="Times New Roman" w:hAnsi="Times New Roman" w:cs="Times New Roman"/>
                <w:bCs/>
                <w:sz w:val="20"/>
                <w:szCs w:val="20"/>
              </w:rPr>
              <w:t xml:space="preserve">; </w:t>
            </w:r>
            <w:r w:rsidRPr="00707A38">
              <w:rPr>
                <w:rFonts w:ascii="Times New Roman" w:hAnsi="Times New Roman" w:cs="Times New Roman"/>
                <w:bCs/>
                <w:sz w:val="20"/>
                <w:szCs w:val="20"/>
              </w:rPr>
              <w:t xml:space="preserve"> </w:t>
            </w:r>
            <w:r w:rsidRPr="00707A38">
              <w:rPr>
                <w:rFonts w:ascii="Times New Roman" w:hAnsi="Times New Roman" w:cs="Times New Roman"/>
                <w:sz w:val="20"/>
                <w:szCs w:val="20"/>
                <w:lang w:val="en-US"/>
              </w:rPr>
              <w:t xml:space="preserve"> </w:t>
            </w:r>
            <w:r w:rsidR="00707A38" w:rsidRPr="00707A38">
              <w:rPr>
                <w:rFonts w:ascii="Times New Roman" w:hAnsi="Times New Roman" w:cs="Times New Roman"/>
                <w:sz w:val="20"/>
                <w:szCs w:val="20"/>
                <w:lang w:val="en-US"/>
              </w:rPr>
              <w:t xml:space="preserve"> </w:t>
            </w:r>
            <w:r w:rsidRPr="00707A38">
              <w:rPr>
                <w:rFonts w:ascii="Times New Roman" w:hAnsi="Times New Roman" w:cs="Times New Roman"/>
                <w:bCs/>
                <w:sz w:val="20"/>
                <w:szCs w:val="20"/>
              </w:rPr>
              <w:t xml:space="preserve">Gutiérrez-Nieto et al., 2009) </w:t>
            </w:r>
          </w:p>
          <w:p w:rsidR="00707A38" w:rsidRPr="00707A38" w:rsidRDefault="00707A38" w:rsidP="001F591C">
            <w:pPr>
              <w:jc w:val="both"/>
              <w:rPr>
                <w:rFonts w:ascii="Times New Roman" w:hAnsi="Times New Roman" w:cs="Times New Roman"/>
                <w:sz w:val="20"/>
                <w:szCs w:val="20"/>
                <w:lang w:val="en-US"/>
              </w:rPr>
            </w:pPr>
          </w:p>
        </w:tc>
        <w:tc>
          <w:tcPr>
            <w:tcW w:w="2816" w:type="dxa"/>
            <w:tcBorders>
              <w:top w:val="single" w:sz="4" w:space="0" w:color="auto"/>
            </w:tcBorders>
          </w:tcPr>
          <w:p w:rsidR="00707A38" w:rsidRPr="00707A38" w:rsidRDefault="00707A38" w:rsidP="00707A38">
            <w:pPr>
              <w:numPr>
                <w:ilvl w:val="0"/>
                <w:numId w:val="3"/>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Total Asset(TA)</w:t>
            </w:r>
          </w:p>
          <w:p w:rsidR="00707A38" w:rsidRPr="00707A38" w:rsidRDefault="00707A38" w:rsidP="00707A38">
            <w:pPr>
              <w:numPr>
                <w:ilvl w:val="0"/>
                <w:numId w:val="3"/>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Operating Expense(OE)</w:t>
            </w:r>
          </w:p>
          <w:p w:rsidR="00707A38" w:rsidRPr="00707A38" w:rsidRDefault="00707A38" w:rsidP="00707A38">
            <w:pPr>
              <w:numPr>
                <w:ilvl w:val="0"/>
                <w:numId w:val="3"/>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Number of employees(NOE)</w:t>
            </w:r>
          </w:p>
        </w:tc>
        <w:tc>
          <w:tcPr>
            <w:tcW w:w="3807" w:type="dxa"/>
            <w:tcBorders>
              <w:top w:val="single" w:sz="4" w:space="0" w:color="auto"/>
            </w:tcBorders>
          </w:tcPr>
          <w:p w:rsidR="00707A38" w:rsidRPr="00707A38" w:rsidRDefault="00707A38" w:rsidP="00707A38">
            <w:pPr>
              <w:numPr>
                <w:ilvl w:val="0"/>
                <w:numId w:val="4"/>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Gross Loan Portfolio (GLP)</w:t>
            </w:r>
          </w:p>
          <w:p w:rsidR="00707A38" w:rsidRPr="00707A38" w:rsidRDefault="00707A38" w:rsidP="00707A38">
            <w:pPr>
              <w:numPr>
                <w:ilvl w:val="0"/>
                <w:numId w:val="4"/>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Operating Income (OI)</w:t>
            </w:r>
          </w:p>
        </w:tc>
      </w:tr>
      <w:tr w:rsidR="00707A38" w:rsidRPr="00707A38" w:rsidTr="00695F78">
        <w:trPr>
          <w:trHeight w:val="1405"/>
        </w:trPr>
        <w:tc>
          <w:tcPr>
            <w:tcW w:w="2452" w:type="dxa"/>
            <w:tcBorders>
              <w:bottom w:val="single" w:sz="4" w:space="0" w:color="auto"/>
            </w:tcBorders>
          </w:tcPr>
          <w:p w:rsidR="00707A38" w:rsidRPr="00707A38" w:rsidRDefault="00707A38" w:rsidP="00707A38">
            <w:pPr>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Social Efficiency (S</w:t>
            </w:r>
            <w:r w:rsidR="00C719A1">
              <w:rPr>
                <w:rFonts w:ascii="Times New Roman" w:hAnsi="Times New Roman" w:cs="Times New Roman"/>
                <w:sz w:val="20"/>
                <w:szCs w:val="20"/>
                <w:lang w:val="en-US"/>
              </w:rPr>
              <w:t>E.</w:t>
            </w:r>
            <w:r w:rsidRPr="00707A38">
              <w:rPr>
                <w:rFonts w:ascii="Times New Roman" w:hAnsi="Times New Roman" w:cs="Times New Roman"/>
                <w:sz w:val="20"/>
                <w:szCs w:val="20"/>
                <w:lang w:val="en-US"/>
              </w:rPr>
              <w:t>)</w:t>
            </w:r>
          </w:p>
          <w:p w:rsidR="00707A38" w:rsidRPr="00707A38" w:rsidRDefault="00737F2E" w:rsidP="00707A38">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Mersland and Storm </w:t>
            </w:r>
            <w:r w:rsidR="00056221">
              <w:rPr>
                <w:rFonts w:ascii="Times New Roman" w:hAnsi="Times New Roman" w:cs="Times New Roman"/>
                <w:sz w:val="20"/>
                <w:szCs w:val="20"/>
                <w:lang w:val="en-US"/>
              </w:rPr>
              <w:t>(2010</w:t>
            </w:r>
            <w:r w:rsidR="00707A38" w:rsidRPr="00707A38">
              <w:rPr>
                <w:rFonts w:ascii="Times New Roman" w:hAnsi="Times New Roman" w:cs="Times New Roman"/>
                <w:sz w:val="20"/>
                <w:szCs w:val="20"/>
                <w:lang w:val="en-US"/>
              </w:rPr>
              <w:t>)</w:t>
            </w:r>
          </w:p>
        </w:tc>
        <w:tc>
          <w:tcPr>
            <w:tcW w:w="2816" w:type="dxa"/>
            <w:tcBorders>
              <w:bottom w:val="single" w:sz="4" w:space="0" w:color="auto"/>
            </w:tcBorders>
          </w:tcPr>
          <w:p w:rsidR="00707A38" w:rsidRPr="00707A38" w:rsidRDefault="00707A38" w:rsidP="00707A38">
            <w:pPr>
              <w:numPr>
                <w:ilvl w:val="0"/>
                <w:numId w:val="5"/>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Total Asset(T</w:t>
            </w:r>
            <w:r w:rsidR="00C719A1">
              <w:rPr>
                <w:rFonts w:ascii="Times New Roman" w:hAnsi="Times New Roman" w:cs="Times New Roman"/>
                <w:sz w:val="20"/>
                <w:szCs w:val="20"/>
                <w:lang w:val="en-US"/>
              </w:rPr>
              <w:t>.A.</w:t>
            </w:r>
            <w:r w:rsidRPr="00707A38">
              <w:rPr>
                <w:rFonts w:ascii="Times New Roman" w:hAnsi="Times New Roman" w:cs="Times New Roman"/>
                <w:sz w:val="20"/>
                <w:szCs w:val="20"/>
                <w:lang w:val="en-US"/>
              </w:rPr>
              <w:t>)</w:t>
            </w:r>
          </w:p>
          <w:p w:rsidR="00707A38" w:rsidRPr="00707A38" w:rsidRDefault="00707A38" w:rsidP="00707A38">
            <w:pPr>
              <w:numPr>
                <w:ilvl w:val="0"/>
                <w:numId w:val="5"/>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Operating Expenses(O</w:t>
            </w:r>
            <w:r w:rsidR="00C719A1">
              <w:rPr>
                <w:rFonts w:ascii="Times New Roman" w:hAnsi="Times New Roman" w:cs="Times New Roman"/>
                <w:sz w:val="20"/>
                <w:szCs w:val="20"/>
                <w:lang w:val="en-US"/>
              </w:rPr>
              <w:t>E.</w:t>
            </w:r>
            <w:r w:rsidRPr="00707A38">
              <w:rPr>
                <w:rFonts w:ascii="Times New Roman" w:hAnsi="Times New Roman" w:cs="Times New Roman"/>
                <w:sz w:val="20"/>
                <w:szCs w:val="20"/>
                <w:lang w:val="en-US"/>
              </w:rPr>
              <w:t>)</w:t>
            </w:r>
          </w:p>
          <w:p w:rsidR="00707A38" w:rsidRPr="00707A38" w:rsidRDefault="00707A38" w:rsidP="00707A38">
            <w:pPr>
              <w:numPr>
                <w:ilvl w:val="0"/>
                <w:numId w:val="5"/>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Number of employees(NOE)</w:t>
            </w:r>
          </w:p>
        </w:tc>
        <w:tc>
          <w:tcPr>
            <w:tcW w:w="3807" w:type="dxa"/>
            <w:tcBorders>
              <w:bottom w:val="single" w:sz="4" w:space="0" w:color="auto"/>
            </w:tcBorders>
          </w:tcPr>
          <w:p w:rsidR="00707A38" w:rsidRPr="00707A38" w:rsidRDefault="00707A38" w:rsidP="00707A38">
            <w:pPr>
              <w:numPr>
                <w:ilvl w:val="0"/>
                <w:numId w:val="6"/>
              </w:numPr>
              <w:contextualSpacing/>
              <w:jc w:val="both"/>
              <w:rPr>
                <w:rFonts w:ascii="Times New Roman" w:hAnsi="Times New Roman" w:cs="Times New Roman"/>
                <w:sz w:val="20"/>
                <w:szCs w:val="20"/>
                <w:lang w:val="en-US"/>
              </w:rPr>
            </w:pPr>
            <w:r w:rsidRPr="00707A38">
              <w:rPr>
                <w:rFonts w:ascii="Times New Roman" w:hAnsi="Times New Roman" w:cs="Times New Roman"/>
                <w:sz w:val="20"/>
                <w:szCs w:val="20"/>
                <w:lang w:val="en-US"/>
              </w:rPr>
              <w:t>Active Borrowers(AB)</w:t>
            </w:r>
          </w:p>
        </w:tc>
      </w:tr>
    </w:tbl>
    <w:p w:rsidR="00707A38" w:rsidRPr="00707A38" w:rsidRDefault="00695F78" w:rsidP="00695F78">
      <w:pPr>
        <w:pBdr>
          <w:bottom w:val="single" w:sz="4" w:space="1" w:color="auto"/>
        </w:pBd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00707A38" w:rsidRPr="00707A38">
        <w:rPr>
          <w:rFonts w:ascii="Times New Roman" w:hAnsi="Times New Roman" w:cs="Times New Roman"/>
          <w:sz w:val="20"/>
          <w:szCs w:val="20"/>
          <w:lang w:val="en-US"/>
        </w:rPr>
        <w:t xml:space="preserve">Variables for </w:t>
      </w:r>
      <w:r>
        <w:rPr>
          <w:rFonts w:ascii="Times New Roman" w:hAnsi="Times New Roman" w:cs="Times New Roman"/>
          <w:sz w:val="20"/>
          <w:szCs w:val="20"/>
          <w:lang w:val="en-US"/>
        </w:rPr>
        <w:t>efficiency estimation</w:t>
      </w:r>
    </w:p>
    <w:p w:rsidR="00707A38" w:rsidRPr="00707A38" w:rsidRDefault="00707A38" w:rsidP="00707A38">
      <w:pPr>
        <w:spacing w:line="480" w:lineRule="auto"/>
        <w:jc w:val="both"/>
        <w:rPr>
          <w:rFonts w:ascii="Times New Roman" w:hAnsi="Times New Roman" w:cs="Times New Roman"/>
          <w:sz w:val="24"/>
          <w:szCs w:val="24"/>
        </w:rPr>
      </w:pPr>
    </w:p>
    <w:p w:rsidR="00707A38" w:rsidRPr="00707A38" w:rsidRDefault="00707A38" w:rsidP="00707A38">
      <w:pPr>
        <w:spacing w:line="480" w:lineRule="auto"/>
        <w:jc w:val="both"/>
        <w:rPr>
          <w:rFonts w:ascii="Times New Roman" w:hAnsi="Times New Roman" w:cs="Times New Roman"/>
          <w:b/>
          <w:sz w:val="24"/>
          <w:szCs w:val="24"/>
        </w:rPr>
      </w:pPr>
      <w:r w:rsidRPr="00707A38">
        <w:rPr>
          <w:rFonts w:ascii="Times New Roman" w:hAnsi="Times New Roman" w:cs="Times New Roman"/>
          <w:b/>
          <w:sz w:val="24"/>
          <w:szCs w:val="24"/>
        </w:rPr>
        <w:t xml:space="preserve">3.2.3 Econometric Model: Efficiency </w:t>
      </w:r>
      <w:r w:rsidR="007F434E">
        <w:rPr>
          <w:rFonts w:ascii="Times New Roman" w:hAnsi="Times New Roman" w:cs="Times New Roman"/>
          <w:b/>
          <w:sz w:val="24"/>
          <w:szCs w:val="24"/>
        </w:rPr>
        <w:t xml:space="preserve">and </w:t>
      </w:r>
      <w:r w:rsidRPr="00707A38">
        <w:rPr>
          <w:rFonts w:ascii="Times New Roman" w:hAnsi="Times New Roman" w:cs="Times New Roman"/>
          <w:b/>
          <w:sz w:val="24"/>
          <w:szCs w:val="24"/>
        </w:rPr>
        <w:t xml:space="preserve"> Voluntary Disclosure</w:t>
      </w:r>
    </w:p>
    <w:p w:rsidR="00542912" w:rsidRDefault="001F3C74" w:rsidP="00542912">
      <w:pPr>
        <w:spacing w:line="480" w:lineRule="auto"/>
        <w:jc w:val="both"/>
        <w:rPr>
          <w:rFonts w:ascii="Times New Roman" w:hAnsi="Times New Roman" w:cs="Times New Roman"/>
          <w:sz w:val="24"/>
          <w:szCs w:val="24"/>
        </w:rPr>
      </w:pPr>
      <w:r>
        <w:rPr>
          <w:rFonts w:ascii="Times New Roman" w:hAnsi="Times New Roman" w:cs="Times New Roman"/>
          <w:sz w:val="24"/>
          <w:szCs w:val="24"/>
        </w:rPr>
        <w:t>The current section explains the model used to test the firm's efficiency association and voluntary disclosure</w:t>
      </w:r>
      <w:r w:rsidR="00467A88">
        <w:rPr>
          <w:rFonts w:ascii="Times New Roman" w:hAnsi="Times New Roman" w:cs="Times New Roman"/>
          <w:sz w:val="24"/>
          <w:szCs w:val="24"/>
        </w:rPr>
        <w:t xml:space="preserve">—the model </w:t>
      </w:r>
      <w:r w:rsidR="00060A65">
        <w:rPr>
          <w:rFonts w:ascii="Times New Roman" w:hAnsi="Times New Roman" w:cs="Times New Roman"/>
          <w:sz w:val="24"/>
          <w:szCs w:val="24"/>
        </w:rPr>
        <w:t xml:space="preserve">checks </w:t>
      </w:r>
      <w:r w:rsidR="00467A88">
        <w:rPr>
          <w:rFonts w:ascii="Times New Roman" w:hAnsi="Times New Roman" w:cs="Times New Roman"/>
          <w:sz w:val="24"/>
          <w:szCs w:val="24"/>
        </w:rPr>
        <w:t>financial and social efficiency association</w:t>
      </w:r>
      <w:r w:rsidR="00060A65">
        <w:rPr>
          <w:rFonts w:ascii="Times New Roman" w:hAnsi="Times New Roman" w:cs="Times New Roman"/>
          <w:sz w:val="24"/>
          <w:szCs w:val="24"/>
        </w:rPr>
        <w:t xml:space="preserve"> with voluntary disclosures through the panel data analysis. </w:t>
      </w:r>
      <w:r w:rsidR="00467A88">
        <w:rPr>
          <w:rFonts w:ascii="Times New Roman" w:hAnsi="Times New Roman" w:cs="Times New Roman"/>
          <w:sz w:val="24"/>
          <w:szCs w:val="24"/>
        </w:rPr>
        <w:t>E</w:t>
      </w:r>
      <w:r w:rsidR="00060A65">
        <w:rPr>
          <w:rFonts w:ascii="Times New Roman" w:hAnsi="Times New Roman" w:cs="Times New Roman"/>
          <w:sz w:val="24"/>
          <w:szCs w:val="24"/>
        </w:rPr>
        <w:t>quation 3 shows the econometric model tested on STATA.</w:t>
      </w:r>
      <w:r w:rsidR="00D81715">
        <w:rPr>
          <w:rFonts w:ascii="Times New Roman" w:hAnsi="Times New Roman" w:cs="Times New Roman"/>
          <w:sz w:val="24"/>
          <w:szCs w:val="24"/>
        </w:rPr>
        <w:t xml:space="preserve"> The outcome variable of the study is measured as the </w:t>
      </w:r>
      <w:r w:rsidR="00D81715" w:rsidRPr="00707A38">
        <w:rPr>
          <w:rFonts w:ascii="Times New Roman" w:eastAsiaTheme="minorEastAsia" w:hAnsi="Times New Roman" w:cs="Times New Roman"/>
          <w:sz w:val="24"/>
          <w:szCs w:val="24"/>
        </w:rPr>
        <w:t>LOGVD</w:t>
      </w:r>
      <w:r w:rsidR="00D81715" w:rsidRPr="00707A38">
        <w:rPr>
          <w:rFonts w:ascii="Times New Roman" w:eastAsiaTheme="minorEastAsia" w:hAnsi="Times New Roman" w:cs="Times New Roman"/>
          <w:sz w:val="24"/>
          <w:szCs w:val="24"/>
          <w:vertAlign w:val="subscript"/>
        </w:rPr>
        <w:t>it</w:t>
      </w:r>
      <w:r w:rsidR="00D81715">
        <w:rPr>
          <w:rFonts w:ascii="Times New Roman" w:eastAsiaTheme="minorEastAsia" w:hAnsi="Times New Roman" w:cs="Times New Roman"/>
          <w:sz w:val="24"/>
          <w:szCs w:val="24"/>
          <w:vertAlign w:val="subscript"/>
        </w:rPr>
        <w:t>.</w:t>
      </w:r>
      <w:r w:rsidR="00467A88">
        <w:rPr>
          <w:rFonts w:ascii="Times New Roman" w:eastAsiaTheme="minorEastAsia" w:hAnsi="Times New Roman" w:cs="Times New Roman"/>
          <w:sz w:val="24"/>
          <w:szCs w:val="24"/>
          <w:vertAlign w:val="subscript"/>
        </w:rPr>
        <w:t xml:space="preserve">  </w:t>
      </w:r>
      <w:r w:rsidR="00D81715">
        <w:rPr>
          <w:rFonts w:ascii="Times New Roman" w:hAnsi="Times New Roman" w:cs="Times New Roman"/>
          <w:sz w:val="24"/>
          <w:szCs w:val="24"/>
        </w:rPr>
        <w:t xml:space="preserve">This indicates the log value of voluntary disclosure scores estimated in </w:t>
      </w:r>
      <w:r w:rsidR="00467A88">
        <w:rPr>
          <w:rFonts w:ascii="Times New Roman" w:hAnsi="Times New Roman" w:cs="Times New Roman"/>
          <w:sz w:val="24"/>
          <w:szCs w:val="24"/>
        </w:rPr>
        <w:t xml:space="preserve">equation 1. The study's independent variables are </w:t>
      </w:r>
      <w:r w:rsidR="005F1269" w:rsidRPr="005F1269">
        <w:rPr>
          <w:rFonts w:ascii="Times New Roman" w:hAnsi="Times New Roman" w:cs="Times New Roman"/>
          <w:sz w:val="24"/>
          <w:szCs w:val="24"/>
        </w:rPr>
        <w:t>FECRSit</w:t>
      </w:r>
      <w:r w:rsidR="00467A88">
        <w:rPr>
          <w:rFonts w:ascii="Times New Roman" w:hAnsi="Times New Roman" w:cs="Times New Roman"/>
          <w:sz w:val="24"/>
          <w:szCs w:val="24"/>
        </w:rPr>
        <w:t>,</w:t>
      </w:r>
      <w:r w:rsidR="005F1269" w:rsidRPr="005F1269">
        <w:rPr>
          <w:rFonts w:ascii="Times New Roman" w:hAnsi="Times New Roman" w:cs="Times New Roman"/>
          <w:sz w:val="24"/>
          <w:szCs w:val="24"/>
        </w:rPr>
        <w:t xml:space="preserve"> and SECRSit</w:t>
      </w:r>
      <w:r w:rsidR="00467A88">
        <w:rPr>
          <w:rFonts w:ascii="Times New Roman" w:hAnsi="Times New Roman" w:cs="Times New Roman"/>
          <w:sz w:val="24"/>
          <w:szCs w:val="24"/>
        </w:rPr>
        <w:t xml:space="preserve"> estimated through equation 2.</w:t>
      </w:r>
      <w:r w:rsidR="005F1269" w:rsidRPr="005F1269">
        <w:rPr>
          <w:rFonts w:ascii="Times New Roman" w:hAnsi="Times New Roman" w:cs="Times New Roman"/>
          <w:sz w:val="24"/>
          <w:szCs w:val="24"/>
        </w:rPr>
        <w:t xml:space="preserve"> </w:t>
      </w:r>
      <w:r w:rsidR="00467A88">
        <w:rPr>
          <w:rFonts w:ascii="Times New Roman" w:hAnsi="Times New Roman" w:cs="Times New Roman"/>
          <w:sz w:val="24"/>
          <w:szCs w:val="24"/>
        </w:rPr>
        <w:t>The equation explains the static panel data</w:t>
      </w:r>
      <w:r w:rsidR="00542912">
        <w:rPr>
          <w:rFonts w:ascii="Times New Roman" w:hAnsi="Times New Roman" w:cs="Times New Roman"/>
          <w:sz w:val="24"/>
          <w:szCs w:val="24"/>
        </w:rPr>
        <w:t xml:space="preserve"> analysis.</w:t>
      </w:r>
      <w:r w:rsidR="00467A88">
        <w:rPr>
          <w:rFonts w:ascii="Times New Roman" w:hAnsi="Times New Roman" w:cs="Times New Roman"/>
          <w:sz w:val="24"/>
          <w:szCs w:val="24"/>
        </w:rPr>
        <w:t xml:space="preserve"> </w:t>
      </w:r>
      <w:r w:rsidR="00542912">
        <w:rPr>
          <w:rFonts w:ascii="Times New Roman" w:hAnsi="Times New Roman" w:cs="Times New Roman"/>
          <w:sz w:val="24"/>
          <w:szCs w:val="24"/>
        </w:rPr>
        <w:t xml:space="preserve">The </w:t>
      </w:r>
      <w:r w:rsidR="00542912" w:rsidRPr="00707A38">
        <w:rPr>
          <w:rFonts w:ascii="Times New Roman" w:eastAsiaTheme="minorEastAsia" w:hAnsi="Times New Roman" w:cs="Times New Roman"/>
          <w:sz w:val="24"/>
          <w:szCs w:val="24"/>
        </w:rPr>
        <w:t>α</w:t>
      </w:r>
      <w:r w:rsidR="00542912">
        <w:rPr>
          <w:rFonts w:ascii="Times New Roman" w:hAnsi="Times New Roman" w:cs="Times New Roman"/>
          <w:sz w:val="24"/>
          <w:szCs w:val="24"/>
        </w:rPr>
        <w:t xml:space="preserve">  denotes a constant term, i = 25 firms, t=  years, uit is t</w:t>
      </w:r>
      <w:r w:rsidR="005F1269" w:rsidRPr="005F1269">
        <w:rPr>
          <w:rFonts w:ascii="Times New Roman" w:hAnsi="Times New Roman" w:cs="Times New Roman"/>
          <w:sz w:val="24"/>
          <w:szCs w:val="24"/>
        </w:rPr>
        <w:t xml:space="preserve">he error term </w:t>
      </w:r>
      <m:oMath>
        <m:r>
          <w:rPr>
            <w:rFonts w:ascii="Cambria Math" w:eastAsiaTheme="minorEastAsia" w:hAnsi="Cambria Math" w:cs="Times New Roman"/>
            <w:sz w:val="24"/>
            <w:szCs w:val="24"/>
          </w:rPr>
          <m:t>u</m:t>
        </m:r>
        <m:r>
          <w:rPr>
            <w:rFonts w:ascii="Cambria Math" w:eastAsiaTheme="minorEastAsia" w:hAnsi="Cambria Math" w:cs="Times New Roman"/>
            <w:sz w:val="24"/>
            <w:szCs w:val="24"/>
            <w:vertAlign w:val="subscript"/>
          </w:rPr>
          <m:t>it</m:t>
        </m:r>
        <m:r>
          <w:rPr>
            <w:rFonts w:ascii="Cambria Math" w:eastAsiaTheme="minorEastAsia" w:hAnsi="Cambria Math" w:cs="Times New Roman"/>
            <w:sz w:val="24"/>
            <w:szCs w:val="24"/>
          </w:rPr>
          <m:t>=  µ</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l-GR"/>
          </w:rPr>
          <m:t>ν</m:t>
        </m:r>
        <m:r>
          <w:rPr>
            <w:rFonts w:ascii="Cambria Math" w:eastAsiaTheme="minorEastAsia" w:hAnsi="Cambria Math" w:cs="Times New Roman"/>
            <w:sz w:val="24"/>
            <w:szCs w:val="24"/>
            <w:vertAlign w:val="subscript"/>
          </w:rPr>
          <m:t>it</m:t>
        </m:r>
        <m:r>
          <w:rPr>
            <w:rFonts w:ascii="Cambria Math" w:eastAsiaTheme="minorEastAsia" w:hAnsi="Cambria Math" w:cs="Times New Roman"/>
            <w:sz w:val="24"/>
            <w:szCs w:val="24"/>
          </w:rPr>
          <m:t> (µ</m:t>
        </m:r>
        <m:r>
          <w:rPr>
            <w:rFonts w:ascii="Cambria Math" w:eastAsiaTheme="minorEastAsia" w:hAnsi="Cambria Math" w:cs="Times New Roman"/>
            <w:sz w:val="24"/>
            <w:szCs w:val="24"/>
            <w:vertAlign w:val="subscript"/>
          </w:rPr>
          <m:t>i</m:t>
        </m:r>
      </m:oMath>
      <w:r w:rsidR="00542912" w:rsidRPr="00A45249">
        <w:rPr>
          <w:rFonts w:ascii="Times New Roman" w:eastAsiaTheme="minorEastAsia" w:hAnsi="Times New Roman" w:cs="Times New Roman"/>
          <w:sz w:val="24"/>
          <w:szCs w:val="24"/>
        </w:rPr>
        <w:t xml:space="preserve"> = represents the unobservable individual effect and </w:t>
      </w:r>
      <m:oMath>
        <m:r>
          <w:rPr>
            <w:rFonts w:ascii="Cambria Math" w:eastAsiaTheme="minorEastAsia" w:hAnsi="Cambria Math" w:cs="Times New Roman"/>
            <w:sz w:val="24"/>
            <w:szCs w:val="24"/>
            <w:lang w:val="el-GR"/>
          </w:rPr>
          <m:t>ν</m:t>
        </m:r>
        <m:r>
          <w:rPr>
            <w:rFonts w:ascii="Cambria Math" w:eastAsiaTheme="minorEastAsia" w:hAnsi="Cambria Math" w:cs="Times New Roman"/>
            <w:sz w:val="24"/>
            <w:szCs w:val="24"/>
            <w:vertAlign w:val="subscript"/>
          </w:rPr>
          <m:t>it</m:t>
        </m:r>
      </m:oMath>
      <w:r w:rsidR="00542912" w:rsidRPr="00A45249">
        <w:rPr>
          <w:rFonts w:ascii="Times New Roman" w:eastAsiaTheme="minorEastAsia" w:hAnsi="Times New Roman" w:cs="Times New Roman"/>
          <w:sz w:val="24"/>
          <w:szCs w:val="24"/>
        </w:rPr>
        <w:t xml:space="preserve"> = </w:t>
      </w:r>
      <w:r w:rsidR="00542912">
        <w:rPr>
          <w:rFonts w:ascii="Times New Roman" w:eastAsiaTheme="minorEastAsia" w:hAnsi="Times New Roman" w:cs="Times New Roman"/>
          <w:sz w:val="24"/>
          <w:szCs w:val="24"/>
        </w:rPr>
        <w:t>mean</w:t>
      </w:r>
      <w:r w:rsidR="00542912" w:rsidRPr="00A45249">
        <w:rPr>
          <w:rFonts w:ascii="Times New Roman" w:eastAsiaTheme="minorEastAsia" w:hAnsi="Times New Roman" w:cs="Times New Roman"/>
          <w:sz w:val="24"/>
          <w:szCs w:val="24"/>
        </w:rPr>
        <w:t>s the remainder disturbance).</w:t>
      </w:r>
    </w:p>
    <w:p w:rsidR="00707A38" w:rsidRPr="00707A38" w:rsidRDefault="00707A38" w:rsidP="00707A38">
      <w:pPr>
        <w:spacing w:line="480" w:lineRule="auto"/>
        <w:jc w:val="both"/>
        <w:rPr>
          <w:rFonts w:ascii="Times New Roman" w:eastAsiaTheme="minorEastAsia" w:hAnsi="Times New Roman" w:cs="Times New Roman"/>
          <w:sz w:val="24"/>
          <w:szCs w:val="24"/>
        </w:rPr>
      </w:pPr>
      <w:r w:rsidRPr="00707A38">
        <w:rPr>
          <w:rFonts w:ascii="Times New Roman" w:eastAsiaTheme="minorEastAsia" w:hAnsi="Times New Roman" w:cs="Times New Roman"/>
          <w:sz w:val="24"/>
          <w:szCs w:val="24"/>
        </w:rPr>
        <w:t>Model - LOGVD</w:t>
      </w:r>
      <w:r w:rsidRPr="00707A38">
        <w:rPr>
          <w:rFonts w:ascii="Times New Roman" w:eastAsiaTheme="minorEastAsia" w:hAnsi="Times New Roman" w:cs="Times New Roman"/>
          <w:sz w:val="24"/>
          <w:szCs w:val="24"/>
          <w:vertAlign w:val="subscript"/>
        </w:rPr>
        <w:t xml:space="preserve">it </w:t>
      </w:r>
      <w:r w:rsidRPr="00707A38">
        <w:rPr>
          <w:rFonts w:ascii="Times New Roman" w:eastAsiaTheme="minorEastAsia" w:hAnsi="Times New Roman" w:cs="Times New Roman"/>
          <w:sz w:val="24"/>
          <w:szCs w:val="24"/>
        </w:rPr>
        <w:t>= α+ β</w:t>
      </w:r>
      <w:r w:rsidRPr="00707A38">
        <w:rPr>
          <w:rFonts w:ascii="Times New Roman" w:eastAsiaTheme="minorEastAsia" w:hAnsi="Times New Roman" w:cs="Times New Roman"/>
          <w:sz w:val="24"/>
          <w:szCs w:val="24"/>
          <w:vertAlign w:val="subscript"/>
        </w:rPr>
        <w:t>1</w:t>
      </w:r>
      <w:r w:rsidRPr="00707A38">
        <w:rPr>
          <w:rFonts w:ascii="Times New Roman" w:eastAsiaTheme="minorEastAsia" w:hAnsi="Times New Roman" w:cs="Times New Roman"/>
          <w:sz w:val="24"/>
          <w:szCs w:val="24"/>
        </w:rPr>
        <w:t>FE_CRS_</w:t>
      </w:r>
      <w:r w:rsidRPr="00707A38">
        <w:rPr>
          <w:rFonts w:ascii="Times New Roman" w:eastAsiaTheme="minorEastAsia" w:hAnsi="Times New Roman" w:cs="Times New Roman"/>
          <w:sz w:val="24"/>
          <w:szCs w:val="24"/>
          <w:vertAlign w:val="subscript"/>
        </w:rPr>
        <w:t>it</w:t>
      </w:r>
      <w:r w:rsidRPr="00707A38">
        <w:rPr>
          <w:rFonts w:ascii="Times New Roman" w:eastAsiaTheme="minorEastAsia" w:hAnsi="Times New Roman" w:cs="Times New Roman"/>
          <w:sz w:val="24"/>
          <w:szCs w:val="24"/>
        </w:rPr>
        <w:t xml:space="preserve"> +β</w:t>
      </w:r>
      <w:r w:rsidRPr="00707A38">
        <w:rPr>
          <w:rFonts w:ascii="Times New Roman" w:eastAsiaTheme="minorEastAsia" w:hAnsi="Times New Roman" w:cs="Times New Roman"/>
          <w:sz w:val="24"/>
          <w:szCs w:val="24"/>
          <w:vertAlign w:val="subscript"/>
        </w:rPr>
        <w:t>2</w:t>
      </w:r>
      <w:r w:rsidRPr="00707A38">
        <w:rPr>
          <w:rFonts w:ascii="Times New Roman" w:eastAsiaTheme="minorEastAsia" w:hAnsi="Times New Roman" w:cs="Times New Roman"/>
          <w:sz w:val="24"/>
          <w:szCs w:val="24"/>
        </w:rPr>
        <w:t>SE_CRS_</w:t>
      </w:r>
      <w:r w:rsidRPr="00707A38">
        <w:rPr>
          <w:rFonts w:ascii="Times New Roman" w:eastAsiaTheme="minorEastAsia" w:hAnsi="Times New Roman" w:cs="Times New Roman"/>
          <w:sz w:val="24"/>
          <w:szCs w:val="24"/>
          <w:vertAlign w:val="subscript"/>
        </w:rPr>
        <w:t xml:space="preserve"> it</w:t>
      </w:r>
      <w:r w:rsidRPr="00707A38">
        <w:rPr>
          <w:rFonts w:ascii="Times New Roman" w:eastAsiaTheme="minorEastAsia" w:hAnsi="Times New Roman" w:cs="Times New Roman"/>
          <w:sz w:val="24"/>
          <w:szCs w:val="24"/>
        </w:rPr>
        <w:t xml:space="preserve"> + </w:t>
      </w:r>
      <w:r w:rsidR="00542912">
        <w:rPr>
          <w:rFonts w:ascii="Times New Roman" w:eastAsiaTheme="minorEastAsia" w:hAnsi="Times New Roman" w:cs="Times New Roman"/>
          <w:sz w:val="24"/>
          <w:szCs w:val="24"/>
        </w:rPr>
        <w:t>u</w:t>
      </w:r>
      <m:oMath>
        <m:r>
          <m:rPr>
            <m:sty m:val="p"/>
          </m:rPr>
          <w:rPr>
            <w:rFonts w:ascii="Cambria Math" w:eastAsiaTheme="minorEastAsia" w:hAnsi="Cambria Math" w:cs="Times New Roman"/>
            <w:sz w:val="24"/>
            <w:szCs w:val="24"/>
            <w:vertAlign w:val="subscript"/>
          </w:rPr>
          <m:t>it</m:t>
        </m:r>
      </m:oMath>
      <w:r w:rsidRPr="00707A38">
        <w:rPr>
          <w:rFonts w:ascii="Times New Roman" w:eastAsiaTheme="minorEastAsia" w:hAnsi="Times New Roman" w:cs="Times New Roman"/>
          <w:sz w:val="24"/>
          <w:szCs w:val="24"/>
        </w:rPr>
        <w:tab/>
      </w:r>
      <w:r w:rsidRPr="00707A38">
        <w:rPr>
          <w:rFonts w:ascii="Times New Roman" w:eastAsiaTheme="minorEastAsia" w:hAnsi="Times New Roman" w:cs="Times New Roman"/>
          <w:sz w:val="24"/>
          <w:szCs w:val="24"/>
        </w:rPr>
        <w:tab/>
      </w:r>
      <w:r w:rsidRPr="00707A38">
        <w:rPr>
          <w:rFonts w:ascii="Times New Roman" w:eastAsiaTheme="minorEastAsia" w:hAnsi="Times New Roman" w:cs="Times New Roman"/>
          <w:sz w:val="24"/>
          <w:szCs w:val="24"/>
        </w:rPr>
        <w:tab/>
        <w:t>Equation (3) ...</w:t>
      </w:r>
    </w:p>
    <w:p w:rsidR="00707A38" w:rsidRPr="00707A38" w:rsidRDefault="00707A38" w:rsidP="00707A38">
      <w:pPr>
        <w:spacing w:line="480" w:lineRule="auto"/>
        <w:jc w:val="both"/>
        <w:rPr>
          <w:rFonts w:ascii="Times New Roman" w:hAnsi="Times New Roman" w:cs="Times New Roman"/>
          <w:sz w:val="24"/>
          <w:szCs w:val="24"/>
        </w:rPr>
      </w:pPr>
    </w:p>
    <w:p w:rsidR="003554DC" w:rsidRDefault="001E6CC5"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scores are estimated by checking the index against the </w:t>
      </w:r>
      <w:r w:rsidR="003C3A9F">
        <w:rPr>
          <w:rFonts w:ascii="Times New Roman" w:hAnsi="Times New Roman" w:cs="Times New Roman"/>
          <w:sz w:val="24"/>
          <w:szCs w:val="24"/>
        </w:rPr>
        <w:t>firms' annual report</w:t>
      </w:r>
      <w:r>
        <w:rPr>
          <w:rFonts w:ascii="Times New Roman" w:hAnsi="Times New Roman" w:cs="Times New Roman"/>
          <w:sz w:val="24"/>
          <w:szCs w:val="24"/>
        </w:rPr>
        <w:t xml:space="preserve">s for each year. </w:t>
      </w:r>
      <w:r w:rsidR="005008C8" w:rsidRPr="005008C8">
        <w:rPr>
          <w:rFonts w:ascii="Times New Roman" w:hAnsi="Times New Roman" w:cs="Times New Roman"/>
          <w:sz w:val="24"/>
          <w:szCs w:val="24"/>
        </w:rPr>
        <w:t xml:space="preserve">The DEA software is used to calculate FECRS and SECRS (financial and social) efficiency scores. </w:t>
      </w:r>
      <w:r w:rsidR="003554DC">
        <w:rPr>
          <w:rFonts w:ascii="Times New Roman" w:hAnsi="Times New Roman" w:cs="Times New Roman"/>
          <w:sz w:val="24"/>
          <w:szCs w:val="24"/>
        </w:rPr>
        <w:t>The firm</w:t>
      </w:r>
      <w:r w:rsidR="003C3A9F">
        <w:rPr>
          <w:rFonts w:ascii="Times New Roman" w:hAnsi="Times New Roman" w:cs="Times New Roman"/>
          <w:sz w:val="24"/>
          <w:szCs w:val="24"/>
        </w:rPr>
        <w:t>-</w:t>
      </w:r>
      <w:r w:rsidR="003554DC">
        <w:rPr>
          <w:rFonts w:ascii="Times New Roman" w:hAnsi="Times New Roman" w:cs="Times New Roman"/>
          <w:sz w:val="24"/>
          <w:szCs w:val="24"/>
        </w:rPr>
        <w:t>specific variables are taken and mentioned in section 3.4.4</w:t>
      </w:r>
      <w:r w:rsidR="004467C2">
        <w:rPr>
          <w:rFonts w:ascii="Times New Roman" w:hAnsi="Times New Roman" w:cs="Times New Roman"/>
          <w:sz w:val="24"/>
          <w:szCs w:val="24"/>
        </w:rPr>
        <w:t>.</w:t>
      </w:r>
    </w:p>
    <w:p w:rsidR="00707A38" w:rsidRPr="00707A38" w:rsidRDefault="00707A38" w:rsidP="00707A38">
      <w:pPr>
        <w:spacing w:line="480" w:lineRule="auto"/>
        <w:jc w:val="both"/>
        <w:rPr>
          <w:rFonts w:ascii="Times New Roman" w:hAnsi="Times New Roman" w:cs="Times New Roman"/>
          <w:b/>
          <w:sz w:val="24"/>
          <w:szCs w:val="24"/>
        </w:rPr>
      </w:pPr>
      <w:r w:rsidRPr="00707A38">
        <w:rPr>
          <w:rFonts w:ascii="Times New Roman" w:hAnsi="Times New Roman" w:cs="Times New Roman"/>
          <w:b/>
          <w:sz w:val="24"/>
          <w:szCs w:val="24"/>
        </w:rPr>
        <w:t>3.4.4 Firm</w:t>
      </w:r>
      <w:r w:rsidR="003C3A9F">
        <w:rPr>
          <w:rFonts w:ascii="Times New Roman" w:hAnsi="Times New Roman" w:cs="Times New Roman"/>
          <w:b/>
          <w:sz w:val="24"/>
          <w:szCs w:val="24"/>
        </w:rPr>
        <w:t>-</w:t>
      </w:r>
      <w:r w:rsidRPr="00707A38">
        <w:rPr>
          <w:rFonts w:ascii="Times New Roman" w:hAnsi="Times New Roman" w:cs="Times New Roman"/>
          <w:b/>
          <w:sz w:val="24"/>
          <w:szCs w:val="24"/>
        </w:rPr>
        <w:t xml:space="preserve">Specific Variables selected </w:t>
      </w:r>
    </w:p>
    <w:p w:rsidR="00707A38" w:rsidRPr="00707A38" w:rsidRDefault="00A43504"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Firm size is considered </w:t>
      </w:r>
      <w:r w:rsidR="003C3A9F">
        <w:rPr>
          <w:rFonts w:ascii="Times New Roman" w:hAnsi="Times New Roman" w:cs="Times New Roman"/>
          <w:sz w:val="24"/>
          <w:szCs w:val="24"/>
        </w:rPr>
        <w:t>an important variable that affects</w:t>
      </w:r>
      <w:r>
        <w:rPr>
          <w:rFonts w:ascii="Times New Roman" w:hAnsi="Times New Roman" w:cs="Times New Roman"/>
          <w:sz w:val="24"/>
          <w:szCs w:val="24"/>
        </w:rPr>
        <w:t xml:space="preserve"> the dis</w:t>
      </w:r>
      <w:r w:rsidR="003C3A9F">
        <w:rPr>
          <w:rFonts w:ascii="Times New Roman" w:hAnsi="Times New Roman" w:cs="Times New Roman"/>
          <w:sz w:val="24"/>
          <w:szCs w:val="24"/>
        </w:rPr>
        <w:t>cl</w:t>
      </w:r>
      <w:r>
        <w:rPr>
          <w:rFonts w:ascii="Times New Roman" w:hAnsi="Times New Roman" w:cs="Times New Roman"/>
          <w:sz w:val="24"/>
          <w:szCs w:val="24"/>
        </w:rPr>
        <w:t xml:space="preserve">osures ( </w:t>
      </w:r>
      <w:r w:rsidRPr="00707A38">
        <w:rPr>
          <w:rFonts w:ascii="Times New Roman" w:hAnsi="Times New Roman" w:cs="Times New Roman"/>
          <w:sz w:val="24"/>
          <w:szCs w:val="24"/>
        </w:rPr>
        <w:t>Ingram and Frazier 1983</w:t>
      </w:r>
      <w:r>
        <w:rPr>
          <w:rFonts w:ascii="Times New Roman" w:hAnsi="Times New Roman" w:cs="Times New Roman"/>
          <w:sz w:val="24"/>
          <w:szCs w:val="24"/>
        </w:rPr>
        <w:t xml:space="preserve">; </w:t>
      </w:r>
      <w:r w:rsidRPr="00707A38">
        <w:rPr>
          <w:rFonts w:ascii="Times New Roman" w:hAnsi="Times New Roman" w:cs="Times New Roman"/>
          <w:sz w:val="24"/>
          <w:szCs w:val="24"/>
        </w:rPr>
        <w:t>Hossian and Reaz 2007</w:t>
      </w:r>
      <w:r>
        <w:rPr>
          <w:rFonts w:ascii="Times New Roman" w:hAnsi="Times New Roman" w:cs="Times New Roman"/>
          <w:sz w:val="24"/>
          <w:szCs w:val="24"/>
        </w:rPr>
        <w:t xml:space="preserve">). </w:t>
      </w:r>
      <w:r w:rsidR="00707A38" w:rsidRPr="00707A38">
        <w:rPr>
          <w:rFonts w:ascii="Times New Roman" w:hAnsi="Times New Roman" w:cs="Times New Roman"/>
          <w:sz w:val="24"/>
          <w:szCs w:val="24"/>
          <w:highlight w:val="yellow"/>
        </w:rPr>
        <w:t>The size is measured as the Log value of the total asset.</w:t>
      </w:r>
      <w:r w:rsidR="00707A38" w:rsidRPr="00707A38">
        <w:rPr>
          <w:rFonts w:ascii="Times New Roman" w:hAnsi="Times New Roman" w:cs="Times New Roman"/>
          <w:sz w:val="24"/>
          <w:szCs w:val="24"/>
        </w:rPr>
        <w:t xml:space="preserve"> It is observed that the size is expected to have a positive association with VD. </w:t>
      </w:r>
      <w:r w:rsidR="003C3A9F">
        <w:rPr>
          <w:rFonts w:ascii="Times New Roman" w:hAnsi="Times New Roman" w:cs="Times New Roman"/>
          <w:sz w:val="24"/>
          <w:szCs w:val="24"/>
        </w:rPr>
        <w:t>R</w:t>
      </w:r>
      <w:r w:rsidR="00A97190">
        <w:rPr>
          <w:rFonts w:ascii="Times New Roman" w:hAnsi="Times New Roman" w:cs="Times New Roman"/>
          <w:sz w:val="24"/>
          <w:szCs w:val="24"/>
        </w:rPr>
        <w:t>esearch suggest</w:t>
      </w:r>
      <w:r w:rsidR="003C3A9F">
        <w:rPr>
          <w:rFonts w:ascii="Times New Roman" w:hAnsi="Times New Roman" w:cs="Times New Roman"/>
          <w:sz w:val="24"/>
          <w:szCs w:val="24"/>
        </w:rPr>
        <w:t>s</w:t>
      </w:r>
      <w:r w:rsidR="00A97190">
        <w:rPr>
          <w:rFonts w:ascii="Times New Roman" w:hAnsi="Times New Roman" w:cs="Times New Roman"/>
          <w:sz w:val="24"/>
          <w:szCs w:val="24"/>
        </w:rPr>
        <w:t xml:space="preserve"> p</w:t>
      </w:r>
      <w:r w:rsidR="00707A38" w:rsidRPr="00707A38">
        <w:rPr>
          <w:rFonts w:ascii="Times New Roman" w:hAnsi="Times New Roman" w:cs="Times New Roman"/>
          <w:sz w:val="24"/>
          <w:szCs w:val="24"/>
        </w:rPr>
        <w:t xml:space="preserve">rofitability is another </w:t>
      </w:r>
      <w:r w:rsidR="003C3A9F">
        <w:rPr>
          <w:rFonts w:ascii="Times New Roman" w:hAnsi="Times New Roman" w:cs="Times New Roman"/>
          <w:sz w:val="24"/>
          <w:szCs w:val="24"/>
        </w:rPr>
        <w:t>critical</w:t>
      </w:r>
      <w:r w:rsidR="00A97190">
        <w:rPr>
          <w:rFonts w:ascii="Times New Roman" w:hAnsi="Times New Roman" w:cs="Times New Roman"/>
          <w:sz w:val="24"/>
          <w:szCs w:val="24"/>
        </w:rPr>
        <w:t xml:space="preserve"> </w:t>
      </w:r>
      <w:r w:rsidR="00707A38" w:rsidRPr="00707A38">
        <w:rPr>
          <w:rFonts w:ascii="Times New Roman" w:hAnsi="Times New Roman" w:cs="Times New Roman"/>
          <w:sz w:val="24"/>
          <w:szCs w:val="24"/>
        </w:rPr>
        <w:t>variable</w:t>
      </w:r>
      <w:r w:rsidR="003C3A9F">
        <w:rPr>
          <w:rFonts w:ascii="Times New Roman" w:hAnsi="Times New Roman" w:cs="Times New Roman"/>
          <w:sz w:val="24"/>
          <w:szCs w:val="24"/>
        </w:rPr>
        <w:t>. I</w:t>
      </w:r>
      <w:r w:rsidR="00707A38" w:rsidRPr="00707A38">
        <w:rPr>
          <w:rFonts w:ascii="Times New Roman" w:hAnsi="Times New Roman" w:cs="Times New Roman"/>
          <w:sz w:val="24"/>
          <w:szCs w:val="24"/>
        </w:rPr>
        <w:t>t is measured as the retu</w:t>
      </w:r>
      <w:r w:rsidR="00A97190">
        <w:rPr>
          <w:rFonts w:ascii="Times New Roman" w:hAnsi="Times New Roman" w:cs="Times New Roman"/>
          <w:sz w:val="24"/>
          <w:szCs w:val="24"/>
        </w:rPr>
        <w:t>rn on asset (EBITA/Total asset), its expected association with VD is positive</w:t>
      </w:r>
      <w:r w:rsidR="003C3A9F">
        <w:rPr>
          <w:rFonts w:ascii="Times New Roman" w:hAnsi="Times New Roman" w:cs="Times New Roman"/>
          <w:sz w:val="24"/>
          <w:szCs w:val="24"/>
        </w:rPr>
        <w:t xml:space="preserve"> </w:t>
      </w:r>
      <w:r w:rsidR="003C3A9F" w:rsidRPr="00707A38">
        <w:rPr>
          <w:rFonts w:ascii="Times New Roman" w:hAnsi="Times New Roman" w:cs="Times New Roman"/>
          <w:sz w:val="24"/>
          <w:szCs w:val="24"/>
        </w:rPr>
        <w:t>(Camfferman and Cooke 2002; Soliman 2013)</w:t>
      </w:r>
      <w:r w:rsidR="00707A38" w:rsidRPr="00707A38">
        <w:rPr>
          <w:rFonts w:ascii="Times New Roman" w:hAnsi="Times New Roman" w:cs="Times New Roman"/>
          <w:sz w:val="24"/>
          <w:szCs w:val="24"/>
        </w:rPr>
        <w:t xml:space="preserve">. </w:t>
      </w:r>
      <w:r w:rsidR="002B406F">
        <w:rPr>
          <w:rFonts w:ascii="Times New Roman" w:hAnsi="Times New Roman" w:cs="Times New Roman"/>
          <w:sz w:val="24"/>
          <w:szCs w:val="24"/>
        </w:rPr>
        <w:t>The firm</w:t>
      </w:r>
      <w:r w:rsidR="003C3A9F">
        <w:rPr>
          <w:rFonts w:ascii="Times New Roman" w:hAnsi="Times New Roman" w:cs="Times New Roman"/>
          <w:sz w:val="24"/>
          <w:szCs w:val="24"/>
        </w:rPr>
        <w:t>'</w:t>
      </w:r>
      <w:r w:rsidR="002B406F">
        <w:rPr>
          <w:rFonts w:ascii="Times New Roman" w:hAnsi="Times New Roman" w:cs="Times New Roman"/>
          <w:sz w:val="24"/>
          <w:szCs w:val="24"/>
        </w:rPr>
        <w:t xml:space="preserve">s age is a critical variable </w:t>
      </w:r>
      <w:r w:rsidR="003C3A9F">
        <w:rPr>
          <w:rFonts w:ascii="Times New Roman" w:hAnsi="Times New Roman" w:cs="Times New Roman"/>
          <w:sz w:val="24"/>
          <w:szCs w:val="24"/>
        </w:rPr>
        <w:t>estimated as the number of years from inception, and the expected sign shows</w:t>
      </w:r>
      <w:r w:rsidR="00707A38" w:rsidRPr="00707A38">
        <w:rPr>
          <w:rFonts w:ascii="Times New Roman" w:hAnsi="Times New Roman" w:cs="Times New Roman"/>
          <w:sz w:val="24"/>
          <w:szCs w:val="24"/>
        </w:rPr>
        <w:t xml:space="preserve"> that older firms </w:t>
      </w:r>
      <w:r w:rsidR="003C3A9F">
        <w:rPr>
          <w:rFonts w:ascii="Times New Roman" w:hAnsi="Times New Roman" w:cs="Times New Roman"/>
          <w:sz w:val="24"/>
          <w:szCs w:val="24"/>
        </w:rPr>
        <w:t>offer</w:t>
      </w:r>
      <w:r w:rsidR="00707A38" w:rsidRPr="00707A38">
        <w:rPr>
          <w:rFonts w:ascii="Times New Roman" w:hAnsi="Times New Roman" w:cs="Times New Roman"/>
          <w:sz w:val="24"/>
          <w:szCs w:val="24"/>
        </w:rPr>
        <w:t xml:space="preserve"> </w:t>
      </w:r>
      <w:r w:rsidR="003C3A9F">
        <w:rPr>
          <w:rFonts w:ascii="Times New Roman" w:hAnsi="Times New Roman" w:cs="Times New Roman"/>
          <w:sz w:val="24"/>
          <w:szCs w:val="24"/>
        </w:rPr>
        <w:t>more robust</w:t>
      </w:r>
      <w:r w:rsidR="00707A38" w:rsidRPr="00707A38">
        <w:rPr>
          <w:rFonts w:ascii="Times New Roman" w:hAnsi="Times New Roman" w:cs="Times New Roman"/>
          <w:sz w:val="24"/>
          <w:szCs w:val="24"/>
        </w:rPr>
        <w:t xml:space="preserve"> governance (Hossian and Reaz, 2007). </w:t>
      </w:r>
      <w:r w:rsidR="003C3A9F">
        <w:rPr>
          <w:rFonts w:ascii="Times New Roman" w:hAnsi="Times New Roman" w:cs="Times New Roman"/>
          <w:sz w:val="24"/>
          <w:szCs w:val="24"/>
        </w:rPr>
        <w:t>The g</w:t>
      </w:r>
      <w:r w:rsidR="00707A38" w:rsidRPr="00707A38">
        <w:rPr>
          <w:rFonts w:ascii="Times New Roman" w:hAnsi="Times New Roman" w:cs="Times New Roman"/>
          <w:sz w:val="24"/>
          <w:szCs w:val="24"/>
        </w:rPr>
        <w:t>ross loan portfolio i</w:t>
      </w:r>
      <w:r w:rsidR="003C3A9F">
        <w:rPr>
          <w:rFonts w:ascii="Times New Roman" w:hAnsi="Times New Roman" w:cs="Times New Roman"/>
          <w:sz w:val="24"/>
          <w:szCs w:val="24"/>
        </w:rPr>
        <w:t>mpacts the microfinance institutions' disclosures and is</w:t>
      </w:r>
      <w:r w:rsidR="00707A38" w:rsidRPr="00707A38">
        <w:rPr>
          <w:rFonts w:ascii="Times New Roman" w:hAnsi="Times New Roman" w:cs="Times New Roman"/>
          <w:sz w:val="24"/>
          <w:szCs w:val="24"/>
        </w:rPr>
        <w:t xml:space="preserve"> measured as the outsta</w:t>
      </w:r>
      <w:r w:rsidR="003C3A9F">
        <w:rPr>
          <w:rFonts w:ascii="Times New Roman" w:hAnsi="Times New Roman" w:cs="Times New Roman"/>
          <w:sz w:val="24"/>
          <w:szCs w:val="24"/>
        </w:rPr>
        <w:t>n</w:t>
      </w:r>
      <w:r w:rsidR="00707A38" w:rsidRPr="00707A38">
        <w:rPr>
          <w:rFonts w:ascii="Times New Roman" w:hAnsi="Times New Roman" w:cs="Times New Roman"/>
          <w:sz w:val="24"/>
          <w:szCs w:val="24"/>
        </w:rPr>
        <w:t>ding loan portfolio of the NBFC-MFI (Quayes and Hasan, 2014).</w:t>
      </w:r>
    </w:p>
    <w:p w:rsidR="00707A38" w:rsidRPr="00707A38" w:rsidRDefault="00315B3C" w:rsidP="00707A38">
      <w:pPr>
        <w:spacing w:line="480" w:lineRule="auto"/>
        <w:jc w:val="both"/>
        <w:rPr>
          <w:rFonts w:ascii="Times New Roman" w:hAnsi="Times New Roman" w:cs="Times New Roman"/>
          <w:b/>
          <w:caps/>
          <w:sz w:val="24"/>
          <w:szCs w:val="24"/>
        </w:rPr>
      </w:pPr>
      <w:r w:rsidRPr="007369EB">
        <w:rPr>
          <w:rFonts w:ascii="Times New Roman" w:hAnsi="Times New Roman" w:cs="Times New Roman"/>
          <w:b/>
          <w:sz w:val="24"/>
          <w:szCs w:val="24"/>
        </w:rPr>
        <w:t>4.</w:t>
      </w:r>
      <w:r w:rsidR="00707A38" w:rsidRPr="007369EB">
        <w:rPr>
          <w:rFonts w:ascii="Times New Roman" w:hAnsi="Times New Roman" w:cs="Times New Roman"/>
          <w:b/>
          <w:caps/>
          <w:sz w:val="24"/>
          <w:szCs w:val="24"/>
        </w:rPr>
        <w:t xml:space="preserve"> </w:t>
      </w:r>
      <w:r w:rsidR="00707A38" w:rsidRPr="00707A38">
        <w:rPr>
          <w:rFonts w:ascii="Times New Roman" w:hAnsi="Times New Roman" w:cs="Times New Roman"/>
          <w:b/>
          <w:caps/>
          <w:sz w:val="24"/>
          <w:szCs w:val="24"/>
        </w:rPr>
        <w:t>Results</w:t>
      </w:r>
      <w:r w:rsidR="00716498">
        <w:rPr>
          <w:rFonts w:ascii="Times New Roman" w:hAnsi="Times New Roman" w:cs="Times New Roman"/>
          <w:b/>
          <w:caps/>
          <w:sz w:val="24"/>
          <w:szCs w:val="24"/>
        </w:rPr>
        <w:t xml:space="preserve"> and findings</w:t>
      </w:r>
    </w:p>
    <w:p w:rsidR="00416E9D" w:rsidRDefault="00707A38" w:rsidP="00707A38">
      <w:pPr>
        <w:spacing w:line="480" w:lineRule="auto"/>
        <w:jc w:val="both"/>
        <w:rPr>
          <w:rFonts w:ascii="Times New Roman" w:hAnsi="Times New Roman" w:cs="Times New Roman"/>
          <w:b/>
          <w:sz w:val="24"/>
          <w:szCs w:val="24"/>
        </w:rPr>
      </w:pPr>
      <w:r w:rsidRPr="00707A38">
        <w:rPr>
          <w:rFonts w:ascii="Times New Roman" w:hAnsi="Times New Roman" w:cs="Times New Roman"/>
          <w:b/>
          <w:sz w:val="24"/>
          <w:szCs w:val="24"/>
        </w:rPr>
        <w:t xml:space="preserve">4.1 </w:t>
      </w:r>
      <w:r w:rsidR="00416E9D" w:rsidRPr="00416E9D">
        <w:rPr>
          <w:rFonts w:ascii="Times New Roman" w:hAnsi="Times New Roman" w:cs="Times New Roman"/>
          <w:b/>
          <w:sz w:val="24"/>
          <w:szCs w:val="24"/>
        </w:rPr>
        <w:t>The reliability</w:t>
      </w:r>
      <w:r w:rsidR="00C052CB">
        <w:rPr>
          <w:rFonts w:ascii="Times New Roman" w:hAnsi="Times New Roman" w:cs="Times New Roman"/>
          <w:b/>
          <w:sz w:val="24"/>
          <w:szCs w:val="24"/>
        </w:rPr>
        <w:t xml:space="preserve"> and levels</w:t>
      </w:r>
      <w:r w:rsidR="00416E9D" w:rsidRPr="00416E9D">
        <w:rPr>
          <w:rFonts w:ascii="Times New Roman" w:hAnsi="Times New Roman" w:cs="Times New Roman"/>
          <w:b/>
          <w:sz w:val="24"/>
          <w:szCs w:val="24"/>
        </w:rPr>
        <w:t xml:space="preserve"> of the Voluntary Disclosure Index</w:t>
      </w:r>
    </w:p>
    <w:p w:rsidR="00D17A0D" w:rsidRDefault="00CC0684" w:rsidP="00F85C0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voluntary disclosure index consist</w:t>
      </w:r>
      <w:r w:rsidR="009610BB">
        <w:rPr>
          <w:rFonts w:ascii="Times New Roman" w:hAnsi="Times New Roman" w:cs="Times New Roman"/>
          <w:sz w:val="24"/>
          <w:szCs w:val="24"/>
        </w:rPr>
        <w:t>s</w:t>
      </w:r>
      <w:r>
        <w:rPr>
          <w:rFonts w:ascii="Times New Roman" w:hAnsi="Times New Roman" w:cs="Times New Roman"/>
          <w:sz w:val="24"/>
          <w:szCs w:val="24"/>
        </w:rPr>
        <w:t xml:space="preserve"> of nine categories with substatements. The annual reports under</w:t>
      </w:r>
      <w:r w:rsidR="009610BB">
        <w:rPr>
          <w:rFonts w:ascii="Times New Roman" w:hAnsi="Times New Roman" w:cs="Times New Roman"/>
          <w:sz w:val="24"/>
          <w:szCs w:val="24"/>
        </w:rPr>
        <w:t>went</w:t>
      </w:r>
      <w:r>
        <w:rPr>
          <w:rFonts w:ascii="Times New Roman" w:hAnsi="Times New Roman" w:cs="Times New Roman"/>
          <w:sz w:val="24"/>
          <w:szCs w:val="24"/>
        </w:rPr>
        <w:t xml:space="preserve"> </w:t>
      </w:r>
      <w:r w:rsidR="009610BB">
        <w:rPr>
          <w:rFonts w:ascii="Times New Roman" w:hAnsi="Times New Roman" w:cs="Times New Roman"/>
          <w:sz w:val="24"/>
          <w:szCs w:val="24"/>
        </w:rPr>
        <w:t>content analysis</w:t>
      </w:r>
      <w:r w:rsidR="00CC3B50">
        <w:rPr>
          <w:rFonts w:ascii="Times New Roman" w:hAnsi="Times New Roman" w:cs="Times New Roman"/>
          <w:sz w:val="24"/>
          <w:szCs w:val="24"/>
        </w:rPr>
        <w:t xml:space="preserve"> (Weber, 1990)</w:t>
      </w:r>
      <w:r w:rsidR="009610BB">
        <w:rPr>
          <w:rFonts w:ascii="Times New Roman" w:hAnsi="Times New Roman" w:cs="Times New Roman"/>
          <w:sz w:val="24"/>
          <w:szCs w:val="24"/>
        </w:rPr>
        <w:t xml:space="preserve">, and the VD scores of each firm were calculated. </w:t>
      </w:r>
    </w:p>
    <w:p w:rsidR="00D17A0D" w:rsidRDefault="00D17A0D" w:rsidP="00D17A0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re</w:t>
      </w:r>
      <w:r w:rsidR="00EF3C9B">
        <w:rPr>
          <w:rFonts w:ascii="Times New Roman" w:hAnsi="Times New Roman" w:cs="Times New Roman"/>
          <w:sz w:val="24"/>
          <w:szCs w:val="24"/>
        </w:rPr>
        <w:t>lia</w:t>
      </w:r>
      <w:r>
        <w:rPr>
          <w:rFonts w:ascii="Times New Roman" w:hAnsi="Times New Roman" w:cs="Times New Roman"/>
          <w:sz w:val="24"/>
          <w:szCs w:val="24"/>
        </w:rPr>
        <w:t>bility of the VD index is checked through Cronbach alph</w:t>
      </w:r>
      <w:r w:rsidRPr="0008008E">
        <w:rPr>
          <w:rFonts w:ascii="Times New Roman" w:hAnsi="Times New Roman" w:cs="Times New Roman"/>
          <w:sz w:val="24"/>
          <w:szCs w:val="24"/>
        </w:rPr>
        <w:t>a</w:t>
      </w:r>
      <w:r>
        <w:rPr>
          <w:rFonts w:ascii="Times New Roman" w:hAnsi="Times New Roman" w:cs="Times New Roman"/>
          <w:sz w:val="24"/>
          <w:szCs w:val="24"/>
        </w:rPr>
        <w:t>. The good reliability value</w:t>
      </w:r>
      <w:r w:rsidR="00EF3C9B">
        <w:rPr>
          <w:rFonts w:ascii="Times New Roman" w:hAnsi="Times New Roman" w:cs="Times New Roman"/>
          <w:sz w:val="24"/>
          <w:szCs w:val="24"/>
        </w:rPr>
        <w:t>,</w:t>
      </w:r>
      <w:r>
        <w:rPr>
          <w:rFonts w:ascii="Times New Roman" w:hAnsi="Times New Roman" w:cs="Times New Roman"/>
          <w:sz w:val="24"/>
          <w:szCs w:val="24"/>
        </w:rPr>
        <w:t xml:space="preserve"> which shows the internal consistency</w:t>
      </w:r>
      <w:r w:rsidR="00EF3C9B">
        <w:rPr>
          <w:rFonts w:ascii="Times New Roman" w:hAnsi="Times New Roman" w:cs="Times New Roman"/>
          <w:sz w:val="24"/>
          <w:szCs w:val="24"/>
        </w:rPr>
        <w:t>,</w:t>
      </w:r>
      <w:r>
        <w:rPr>
          <w:rFonts w:ascii="Times New Roman" w:hAnsi="Times New Roman" w:cs="Times New Roman"/>
          <w:sz w:val="24"/>
          <w:szCs w:val="24"/>
        </w:rPr>
        <w:t xml:space="preserve"> should be greater than 0.7. The study has 0.717 has the Cronbach alph</w:t>
      </w:r>
      <w:r w:rsidRPr="0008008E">
        <w:rPr>
          <w:rFonts w:ascii="Times New Roman" w:hAnsi="Times New Roman" w:cs="Times New Roman"/>
          <w:sz w:val="24"/>
          <w:szCs w:val="24"/>
        </w:rPr>
        <w:t>a</w:t>
      </w:r>
      <w:r>
        <w:rPr>
          <w:rFonts w:ascii="Times New Roman" w:hAnsi="Times New Roman" w:cs="Times New Roman"/>
          <w:sz w:val="24"/>
          <w:szCs w:val="24"/>
        </w:rPr>
        <w:t xml:space="preserve"> value </w:t>
      </w:r>
      <w:r w:rsidRPr="0008008E">
        <w:rPr>
          <w:rFonts w:ascii="Times New Roman" w:hAnsi="Times New Roman" w:cs="Times New Roman"/>
          <w:sz w:val="24"/>
          <w:szCs w:val="24"/>
        </w:rPr>
        <w:t>(Cr</w:t>
      </w:r>
      <w:r>
        <w:rPr>
          <w:rFonts w:ascii="Times New Roman" w:hAnsi="Times New Roman" w:cs="Times New Roman"/>
          <w:sz w:val="24"/>
          <w:szCs w:val="24"/>
        </w:rPr>
        <w:t xml:space="preserve">onbach, 1951). </w:t>
      </w:r>
      <w:r w:rsidR="00942642">
        <w:rPr>
          <w:rFonts w:ascii="Times New Roman" w:hAnsi="Times New Roman" w:cs="Times New Roman"/>
          <w:sz w:val="24"/>
          <w:szCs w:val="24"/>
        </w:rPr>
        <w:t>The findings suggest that firms disclose more financial information, background information, risk management, human intellectual capital</w:t>
      </w:r>
      <w:r w:rsidR="008A7E3E">
        <w:rPr>
          <w:rFonts w:ascii="Times New Roman" w:hAnsi="Times New Roman" w:cs="Times New Roman"/>
          <w:sz w:val="24"/>
          <w:szCs w:val="24"/>
        </w:rPr>
        <w:t xml:space="preserve"> , and forward-looking</w:t>
      </w:r>
      <w:r w:rsidR="00942642">
        <w:rPr>
          <w:rFonts w:ascii="Times New Roman" w:hAnsi="Times New Roman" w:cs="Times New Roman"/>
          <w:sz w:val="24"/>
          <w:szCs w:val="24"/>
        </w:rPr>
        <w:t xml:space="preserve"> </w:t>
      </w:r>
      <w:r w:rsidR="008A7E3E">
        <w:rPr>
          <w:rFonts w:ascii="Times New Roman" w:hAnsi="Times New Roman" w:cs="Times New Roman"/>
          <w:sz w:val="24"/>
          <w:szCs w:val="24"/>
        </w:rPr>
        <w:t xml:space="preserve">information </w:t>
      </w:r>
      <w:r w:rsidR="00942642">
        <w:rPr>
          <w:rFonts w:ascii="Times New Roman" w:hAnsi="Times New Roman" w:cs="Times New Roman"/>
          <w:sz w:val="24"/>
          <w:szCs w:val="24"/>
        </w:rPr>
        <w:t xml:space="preserve">but are relatively low social performance disclosure, </w:t>
      </w:r>
      <w:r w:rsidR="00DB7696">
        <w:rPr>
          <w:rFonts w:ascii="Times New Roman" w:hAnsi="Times New Roman" w:cs="Times New Roman"/>
          <w:sz w:val="24"/>
          <w:szCs w:val="24"/>
        </w:rPr>
        <w:t xml:space="preserve">corporate strategy, </w:t>
      </w:r>
      <w:r w:rsidR="00942642">
        <w:rPr>
          <w:rFonts w:ascii="Times New Roman" w:hAnsi="Times New Roman" w:cs="Times New Roman"/>
          <w:sz w:val="24"/>
          <w:szCs w:val="24"/>
        </w:rPr>
        <w:t>competitive environment, and outlook information. Although social information disclosure has increased in past years, they are still low. The voluntary CSR scores are less as the firms only focus on the legal requirements.</w:t>
      </w:r>
    </w:p>
    <w:p w:rsidR="00F85C0A" w:rsidRDefault="00707A38" w:rsidP="00F85C0A">
      <w:pPr>
        <w:spacing w:before="100" w:beforeAutospacing="1" w:after="100" w:afterAutospacing="1" w:line="480" w:lineRule="auto"/>
        <w:jc w:val="both"/>
        <w:rPr>
          <w:rFonts w:ascii="Times New Roman" w:hAnsi="Times New Roman" w:cs="Times New Roman"/>
          <w:b/>
          <w:color w:val="000000"/>
          <w:sz w:val="24"/>
          <w:szCs w:val="24"/>
        </w:rPr>
      </w:pPr>
      <w:r w:rsidRPr="00707A38">
        <w:rPr>
          <w:rFonts w:ascii="Times New Roman" w:hAnsi="Times New Roman" w:cs="Times New Roman"/>
          <w:b/>
          <w:color w:val="000000"/>
          <w:sz w:val="24"/>
          <w:szCs w:val="24"/>
        </w:rPr>
        <w:t xml:space="preserve">4.2 </w:t>
      </w:r>
      <w:r w:rsidR="00536DA8" w:rsidRPr="00F85C0A">
        <w:rPr>
          <w:rFonts w:ascii="Times New Roman" w:hAnsi="Times New Roman" w:cs="Times New Roman"/>
          <w:b/>
          <w:color w:val="000000"/>
          <w:sz w:val="24"/>
          <w:szCs w:val="24"/>
        </w:rPr>
        <w:t>E</w:t>
      </w:r>
      <w:r w:rsidR="00536DA8">
        <w:rPr>
          <w:rFonts w:ascii="Times New Roman" w:hAnsi="Times New Roman" w:cs="Times New Roman"/>
          <w:b/>
          <w:color w:val="000000"/>
          <w:sz w:val="24"/>
          <w:szCs w:val="24"/>
        </w:rPr>
        <w:t>stimation</w:t>
      </w:r>
      <w:r w:rsidR="00F85C0A" w:rsidRPr="00F85C0A">
        <w:rPr>
          <w:rFonts w:ascii="Times New Roman" w:hAnsi="Times New Roman" w:cs="Times New Roman"/>
          <w:b/>
          <w:color w:val="000000"/>
          <w:sz w:val="24"/>
          <w:szCs w:val="24"/>
        </w:rPr>
        <w:t xml:space="preserve"> of NBFC-MFI Efficiencies</w:t>
      </w:r>
    </w:p>
    <w:p w:rsidR="0071188F" w:rsidRDefault="00707A38" w:rsidP="00707A38">
      <w:pPr>
        <w:spacing w:before="100" w:beforeAutospacing="1" w:after="100" w:afterAutospacing="1" w:line="480" w:lineRule="auto"/>
        <w:jc w:val="both"/>
        <w:rPr>
          <w:rFonts w:ascii="Times New Roman" w:hAnsi="Times New Roman" w:cs="Times New Roman"/>
          <w:b/>
          <w:sz w:val="24"/>
          <w:szCs w:val="24"/>
          <w:lang w:val="en-US"/>
        </w:rPr>
      </w:pPr>
      <w:r w:rsidRPr="00707A38">
        <w:rPr>
          <w:rFonts w:ascii="Times New Roman" w:hAnsi="Times New Roman" w:cs="Times New Roman"/>
          <w:b/>
          <w:sz w:val="24"/>
          <w:szCs w:val="24"/>
          <w:lang w:val="en-US"/>
        </w:rPr>
        <w:t xml:space="preserve">4.2.1 </w:t>
      </w:r>
      <w:r w:rsidR="00F85C0A" w:rsidRPr="00F85C0A">
        <w:rPr>
          <w:rFonts w:ascii="Times New Roman" w:hAnsi="Times New Roman" w:cs="Times New Roman"/>
          <w:b/>
          <w:sz w:val="24"/>
          <w:szCs w:val="24"/>
          <w:lang w:val="en-US"/>
        </w:rPr>
        <w:t>DEA</w:t>
      </w:r>
      <w:r w:rsidR="00ED37B8">
        <w:rPr>
          <w:rFonts w:ascii="Times New Roman" w:hAnsi="Times New Roman" w:cs="Times New Roman"/>
          <w:b/>
          <w:sz w:val="24"/>
          <w:szCs w:val="24"/>
          <w:lang w:val="en-US"/>
        </w:rPr>
        <w:t>-Model</w:t>
      </w:r>
      <w:r w:rsidR="00F85C0A" w:rsidRPr="00F85C0A">
        <w:rPr>
          <w:rFonts w:ascii="Times New Roman" w:hAnsi="Times New Roman" w:cs="Times New Roman"/>
          <w:b/>
          <w:sz w:val="24"/>
          <w:szCs w:val="24"/>
          <w:lang w:val="en-US"/>
        </w:rPr>
        <w:t xml:space="preserve"> </w:t>
      </w:r>
    </w:p>
    <w:p w:rsidR="00EF3C9B" w:rsidRDefault="008F2AB5" w:rsidP="00707A38">
      <w:pPr>
        <w:spacing w:before="100" w:beforeAutospacing="1" w:after="100" w:afterAutospacing="1"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54FD0">
        <w:rPr>
          <w:rFonts w:ascii="Times New Roman" w:hAnsi="Times New Roman" w:cs="Times New Roman"/>
          <w:sz w:val="24"/>
          <w:szCs w:val="24"/>
          <w:lang w:val="en-US"/>
        </w:rPr>
        <w:t>he DEA model is applied to estimate the efficiency levels</w:t>
      </w:r>
      <w:r w:rsidR="00EF3C9B">
        <w:rPr>
          <w:rFonts w:ascii="Times New Roman" w:hAnsi="Times New Roman" w:cs="Times New Roman"/>
          <w:sz w:val="24"/>
          <w:szCs w:val="24"/>
          <w:lang w:val="en-US"/>
        </w:rPr>
        <w:t>, and output and input (table 2) are identified for the NBFC- MFI for social</w:t>
      </w:r>
      <w:r w:rsidR="002066D3">
        <w:rPr>
          <w:rFonts w:ascii="Times New Roman" w:hAnsi="Times New Roman" w:cs="Times New Roman"/>
          <w:sz w:val="24"/>
          <w:szCs w:val="24"/>
          <w:lang w:val="en-US"/>
        </w:rPr>
        <w:t xml:space="preserve"> efficiency (SE)</w:t>
      </w:r>
      <w:r w:rsidR="00EF3C9B">
        <w:rPr>
          <w:rFonts w:ascii="Times New Roman" w:hAnsi="Times New Roman" w:cs="Times New Roman"/>
          <w:sz w:val="24"/>
          <w:szCs w:val="24"/>
          <w:lang w:val="en-US"/>
        </w:rPr>
        <w:t xml:space="preserve"> and financial efficiency</w:t>
      </w:r>
      <w:r w:rsidR="002066D3">
        <w:rPr>
          <w:rFonts w:ascii="Times New Roman" w:hAnsi="Times New Roman" w:cs="Times New Roman"/>
          <w:sz w:val="24"/>
          <w:szCs w:val="24"/>
          <w:lang w:val="en-US"/>
        </w:rPr>
        <w:t xml:space="preserve"> (FE)</w:t>
      </w:r>
      <w:r w:rsidR="00EF3C9B">
        <w:rPr>
          <w:rFonts w:ascii="Times New Roman" w:hAnsi="Times New Roman" w:cs="Times New Roman"/>
          <w:sz w:val="24"/>
          <w:szCs w:val="24"/>
          <w:lang w:val="en-US"/>
        </w:rPr>
        <w:t xml:space="preserve"> models. Table 3 shows the descriptive statistics for the selected variables. </w:t>
      </w:r>
    </w:p>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Table 3 </w:t>
      </w:r>
      <w:r w:rsidR="00A4776A" w:rsidRPr="00A4776A">
        <w:rPr>
          <w:rFonts w:ascii="Times New Roman" w:hAnsi="Times New Roman" w:cs="Times New Roman"/>
          <w:sz w:val="20"/>
          <w:szCs w:val="20"/>
        </w:rPr>
        <w:t>Descriptive statistics</w:t>
      </w:r>
      <w:r w:rsidR="0011445E">
        <w:rPr>
          <w:rFonts w:ascii="Times New Roman" w:hAnsi="Times New Roman" w:cs="Times New Roman"/>
          <w:sz w:val="20"/>
          <w:szCs w:val="20"/>
        </w:rPr>
        <w:t xml:space="preserve"> of the variables </w:t>
      </w:r>
      <w:r w:rsidR="0029250B">
        <w:rPr>
          <w:rFonts w:ascii="Times New Roman" w:hAnsi="Times New Roman" w:cs="Times New Roman"/>
          <w:sz w:val="20"/>
          <w:szCs w:val="20"/>
        </w:rPr>
        <w:t xml:space="preserve">for </w:t>
      </w:r>
      <w:r w:rsidR="007E0FAC">
        <w:rPr>
          <w:rFonts w:ascii="Times New Roman" w:hAnsi="Times New Roman" w:cs="Times New Roman"/>
          <w:sz w:val="20"/>
          <w:szCs w:val="20"/>
        </w:rPr>
        <w:t>Efficiency E</w:t>
      </w:r>
      <w:r w:rsidR="000647F3">
        <w:rPr>
          <w:rFonts w:ascii="Times New Roman" w:hAnsi="Times New Roman" w:cs="Times New Roman"/>
          <w:sz w:val="20"/>
          <w:szCs w:val="20"/>
        </w:rPr>
        <w:t>stimation</w:t>
      </w:r>
    </w:p>
    <w:tbl>
      <w:tblPr>
        <w:tblStyle w:val="TableGrid1"/>
        <w:tblW w:w="90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1141"/>
        <w:gridCol w:w="1446"/>
        <w:gridCol w:w="1377"/>
        <w:gridCol w:w="1556"/>
        <w:gridCol w:w="1212"/>
        <w:gridCol w:w="1388"/>
      </w:tblGrid>
      <w:tr w:rsidR="009A5067" w:rsidRPr="00707A38" w:rsidTr="00E30761">
        <w:trPr>
          <w:trHeight w:val="300"/>
        </w:trPr>
        <w:tc>
          <w:tcPr>
            <w:tcW w:w="906" w:type="dxa"/>
            <w:tcBorders>
              <w:top w:val="single" w:sz="4" w:space="0" w:color="auto"/>
              <w:bottom w:val="nil"/>
            </w:tcBorders>
            <w:noWrap/>
          </w:tcPr>
          <w:p w:rsidR="009A5067" w:rsidRPr="00707A38" w:rsidRDefault="009A5067" w:rsidP="009A5067">
            <w:pPr>
              <w:jc w:val="both"/>
              <w:rPr>
                <w:rFonts w:ascii="Times New Roman" w:hAnsi="Times New Roman" w:cs="Times New Roman"/>
                <w:sz w:val="20"/>
                <w:szCs w:val="20"/>
              </w:rPr>
            </w:pPr>
          </w:p>
        </w:tc>
        <w:tc>
          <w:tcPr>
            <w:tcW w:w="1141" w:type="dxa"/>
            <w:tcBorders>
              <w:top w:val="single" w:sz="4" w:space="0" w:color="auto"/>
              <w:bottom w:val="nil"/>
            </w:tcBorders>
          </w:tcPr>
          <w:p w:rsidR="009A5067" w:rsidRPr="00707A38" w:rsidRDefault="009A5067" w:rsidP="009A5067">
            <w:pPr>
              <w:jc w:val="both"/>
              <w:rPr>
                <w:rFonts w:ascii="Times New Roman" w:hAnsi="Times New Roman" w:cs="Times New Roman"/>
                <w:sz w:val="20"/>
                <w:szCs w:val="20"/>
              </w:rPr>
            </w:pPr>
            <w:r w:rsidRPr="00707A38">
              <w:rPr>
                <w:rFonts w:ascii="Times New Roman" w:hAnsi="Times New Roman" w:cs="Times New Roman"/>
                <w:sz w:val="20"/>
                <w:szCs w:val="20"/>
              </w:rPr>
              <w:t>S</w:t>
            </w:r>
            <w:r>
              <w:rPr>
                <w:rFonts w:ascii="Times New Roman" w:hAnsi="Times New Roman" w:cs="Times New Roman"/>
                <w:sz w:val="20"/>
                <w:szCs w:val="20"/>
              </w:rPr>
              <w:t>.E.</w:t>
            </w:r>
            <w:r w:rsidRPr="00707A38">
              <w:rPr>
                <w:rFonts w:ascii="Times New Roman" w:hAnsi="Times New Roman" w:cs="Times New Roman"/>
                <w:sz w:val="20"/>
                <w:szCs w:val="20"/>
              </w:rPr>
              <w:t xml:space="preserve"> Model </w:t>
            </w:r>
          </w:p>
        </w:tc>
        <w:tc>
          <w:tcPr>
            <w:tcW w:w="2823" w:type="dxa"/>
            <w:gridSpan w:val="2"/>
            <w:tcBorders>
              <w:top w:val="single" w:sz="4" w:space="0" w:color="auto"/>
              <w:bottom w:val="nil"/>
            </w:tcBorders>
            <w:noWrap/>
          </w:tcPr>
          <w:p w:rsidR="009A5067" w:rsidRPr="00707A38" w:rsidRDefault="009A5067" w:rsidP="009A5067">
            <w:pPr>
              <w:jc w:val="both"/>
              <w:rPr>
                <w:rFonts w:ascii="Times New Roman" w:hAnsi="Times New Roman" w:cs="Times New Roman"/>
                <w:sz w:val="20"/>
                <w:szCs w:val="20"/>
              </w:rPr>
            </w:pPr>
            <w:r w:rsidRPr="00707A38">
              <w:rPr>
                <w:rFonts w:ascii="Times New Roman" w:hAnsi="Times New Roman" w:cs="Times New Roman"/>
                <w:sz w:val="20"/>
                <w:szCs w:val="20"/>
              </w:rPr>
              <w:t>F</w:t>
            </w:r>
            <w:r>
              <w:rPr>
                <w:rFonts w:ascii="Times New Roman" w:hAnsi="Times New Roman" w:cs="Times New Roman"/>
                <w:sz w:val="20"/>
                <w:szCs w:val="20"/>
              </w:rPr>
              <w:t>.E.</w:t>
            </w:r>
            <w:r w:rsidRPr="00707A38">
              <w:rPr>
                <w:rFonts w:ascii="Times New Roman" w:hAnsi="Times New Roman" w:cs="Times New Roman"/>
                <w:sz w:val="20"/>
                <w:szCs w:val="20"/>
              </w:rPr>
              <w:t xml:space="preserve"> Model</w:t>
            </w:r>
          </w:p>
        </w:tc>
        <w:tc>
          <w:tcPr>
            <w:tcW w:w="4156" w:type="dxa"/>
            <w:gridSpan w:val="3"/>
            <w:tcBorders>
              <w:top w:val="single" w:sz="4" w:space="0" w:color="auto"/>
              <w:bottom w:val="nil"/>
            </w:tcBorders>
            <w:noWrap/>
          </w:tcPr>
          <w:p w:rsidR="009A5067" w:rsidRPr="00707A38" w:rsidRDefault="009A5067" w:rsidP="009A5067">
            <w:pPr>
              <w:jc w:val="both"/>
              <w:rPr>
                <w:rFonts w:ascii="Times New Roman" w:hAnsi="Times New Roman" w:cs="Times New Roman"/>
                <w:sz w:val="20"/>
                <w:szCs w:val="20"/>
              </w:rPr>
            </w:pPr>
            <w:r w:rsidRPr="00707A38">
              <w:rPr>
                <w:rFonts w:ascii="Times New Roman" w:hAnsi="Times New Roman" w:cs="Times New Roman"/>
                <w:sz w:val="20"/>
                <w:szCs w:val="20"/>
              </w:rPr>
              <w:t xml:space="preserve">       Both F</w:t>
            </w:r>
            <w:r>
              <w:rPr>
                <w:rFonts w:ascii="Times New Roman" w:hAnsi="Times New Roman" w:cs="Times New Roman"/>
                <w:sz w:val="20"/>
                <w:szCs w:val="20"/>
              </w:rPr>
              <w:t>.</w:t>
            </w:r>
            <w:r w:rsidRPr="00707A38">
              <w:rPr>
                <w:rFonts w:ascii="Times New Roman" w:hAnsi="Times New Roman" w:cs="Times New Roman"/>
                <w:sz w:val="20"/>
                <w:szCs w:val="20"/>
              </w:rPr>
              <w:t>E</w:t>
            </w:r>
            <w:r>
              <w:rPr>
                <w:rFonts w:ascii="Times New Roman" w:hAnsi="Times New Roman" w:cs="Times New Roman"/>
                <w:sz w:val="20"/>
                <w:szCs w:val="20"/>
              </w:rPr>
              <w:t>.</w:t>
            </w:r>
            <w:r w:rsidRPr="00707A38">
              <w:rPr>
                <w:rFonts w:ascii="Times New Roman" w:hAnsi="Times New Roman" w:cs="Times New Roman"/>
                <w:sz w:val="20"/>
                <w:szCs w:val="20"/>
              </w:rPr>
              <w:t xml:space="preserve"> &amp; S</w:t>
            </w:r>
            <w:r>
              <w:rPr>
                <w:rFonts w:ascii="Times New Roman" w:hAnsi="Times New Roman" w:cs="Times New Roman"/>
                <w:sz w:val="20"/>
                <w:szCs w:val="20"/>
              </w:rPr>
              <w:t>.E.</w:t>
            </w:r>
            <w:r w:rsidRPr="00707A38">
              <w:rPr>
                <w:rFonts w:ascii="Times New Roman" w:hAnsi="Times New Roman" w:cs="Times New Roman"/>
                <w:sz w:val="20"/>
                <w:szCs w:val="20"/>
              </w:rPr>
              <w:t xml:space="preserve"> Model</w:t>
            </w:r>
          </w:p>
        </w:tc>
      </w:tr>
      <w:tr w:rsidR="00B478B0" w:rsidRPr="00707A38" w:rsidTr="00E30761">
        <w:trPr>
          <w:trHeight w:val="300"/>
        </w:trPr>
        <w:tc>
          <w:tcPr>
            <w:tcW w:w="906" w:type="dxa"/>
            <w:tcBorders>
              <w:top w:val="nil"/>
              <w:bottom w:val="single" w:sz="4" w:space="0" w:color="auto"/>
            </w:tcBorders>
            <w:noWrap/>
            <w:hideMark/>
          </w:tcPr>
          <w:p w:rsidR="00B478B0" w:rsidRPr="00707A38" w:rsidRDefault="00B478B0" w:rsidP="009A5067">
            <w:pPr>
              <w:jc w:val="both"/>
              <w:rPr>
                <w:rFonts w:ascii="Times New Roman" w:hAnsi="Times New Roman" w:cs="Times New Roman"/>
                <w:sz w:val="20"/>
                <w:szCs w:val="20"/>
              </w:rPr>
            </w:pPr>
          </w:p>
        </w:tc>
        <w:tc>
          <w:tcPr>
            <w:tcW w:w="1141" w:type="dxa"/>
            <w:tcBorders>
              <w:top w:val="nil"/>
              <w:bottom w:val="single" w:sz="4" w:space="0" w:color="auto"/>
            </w:tcBorders>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A</w:t>
            </w:r>
            <w:r w:rsidR="00E30761">
              <w:rPr>
                <w:rFonts w:ascii="Times New Roman" w:hAnsi="Times New Roman" w:cs="Times New Roman"/>
                <w:sz w:val="20"/>
                <w:szCs w:val="20"/>
              </w:rPr>
              <w:t>.</w:t>
            </w:r>
            <w:r w:rsidRPr="00707A38">
              <w:rPr>
                <w:rFonts w:ascii="Times New Roman" w:hAnsi="Times New Roman" w:cs="Times New Roman"/>
                <w:sz w:val="20"/>
                <w:szCs w:val="20"/>
              </w:rPr>
              <w:t>B</w:t>
            </w:r>
            <w:r w:rsidR="00E30761">
              <w:rPr>
                <w:rFonts w:ascii="Times New Roman" w:hAnsi="Times New Roman" w:cs="Times New Roman"/>
                <w:sz w:val="20"/>
                <w:szCs w:val="20"/>
              </w:rPr>
              <w:t>.</w:t>
            </w:r>
            <w:r w:rsidRPr="00707A38">
              <w:rPr>
                <w:rFonts w:ascii="Times New Roman" w:hAnsi="Times New Roman" w:cs="Times New Roman"/>
                <w:sz w:val="20"/>
                <w:szCs w:val="20"/>
              </w:rPr>
              <w:t>(O)</w:t>
            </w:r>
          </w:p>
        </w:tc>
        <w:tc>
          <w:tcPr>
            <w:tcW w:w="1446" w:type="dxa"/>
            <w:tcBorders>
              <w:top w:val="nil"/>
              <w:bottom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G</w:t>
            </w:r>
            <w:r w:rsidR="00E30761">
              <w:rPr>
                <w:rFonts w:ascii="Times New Roman" w:hAnsi="Times New Roman" w:cs="Times New Roman"/>
                <w:sz w:val="20"/>
                <w:szCs w:val="20"/>
              </w:rPr>
              <w:t>.</w:t>
            </w:r>
            <w:r w:rsidRPr="00707A38">
              <w:rPr>
                <w:rFonts w:ascii="Times New Roman" w:hAnsi="Times New Roman" w:cs="Times New Roman"/>
                <w:sz w:val="20"/>
                <w:szCs w:val="20"/>
              </w:rPr>
              <w:t>L</w:t>
            </w:r>
            <w:r w:rsidR="00E30761">
              <w:rPr>
                <w:rFonts w:ascii="Times New Roman" w:hAnsi="Times New Roman" w:cs="Times New Roman"/>
                <w:sz w:val="20"/>
                <w:szCs w:val="20"/>
              </w:rPr>
              <w:t>.</w:t>
            </w:r>
            <w:r w:rsidRPr="00707A38">
              <w:rPr>
                <w:rFonts w:ascii="Times New Roman" w:hAnsi="Times New Roman" w:cs="Times New Roman"/>
                <w:sz w:val="20"/>
                <w:szCs w:val="20"/>
              </w:rPr>
              <w:t>P</w:t>
            </w:r>
            <w:r w:rsidR="00E30761">
              <w:rPr>
                <w:rFonts w:ascii="Times New Roman" w:hAnsi="Times New Roman" w:cs="Times New Roman"/>
                <w:sz w:val="20"/>
                <w:szCs w:val="20"/>
              </w:rPr>
              <w:t>.</w:t>
            </w:r>
            <w:r w:rsidRPr="00707A38">
              <w:rPr>
                <w:rFonts w:ascii="Times New Roman" w:hAnsi="Times New Roman" w:cs="Times New Roman"/>
                <w:sz w:val="20"/>
                <w:szCs w:val="20"/>
              </w:rPr>
              <w:t>(O)</w:t>
            </w:r>
          </w:p>
        </w:tc>
        <w:tc>
          <w:tcPr>
            <w:tcW w:w="1377" w:type="dxa"/>
            <w:tcBorders>
              <w:top w:val="nil"/>
              <w:bottom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O</w:t>
            </w:r>
            <w:r w:rsidR="00E30761">
              <w:rPr>
                <w:rFonts w:ascii="Times New Roman" w:hAnsi="Times New Roman" w:cs="Times New Roman"/>
                <w:sz w:val="20"/>
                <w:szCs w:val="20"/>
              </w:rPr>
              <w:t>.</w:t>
            </w:r>
            <w:r w:rsidRPr="00707A38">
              <w:rPr>
                <w:rFonts w:ascii="Times New Roman" w:hAnsi="Times New Roman" w:cs="Times New Roman"/>
                <w:sz w:val="20"/>
                <w:szCs w:val="20"/>
              </w:rPr>
              <w:t>I</w:t>
            </w:r>
            <w:r w:rsidR="00E30761">
              <w:rPr>
                <w:rFonts w:ascii="Times New Roman" w:hAnsi="Times New Roman" w:cs="Times New Roman"/>
                <w:sz w:val="20"/>
                <w:szCs w:val="20"/>
              </w:rPr>
              <w:t xml:space="preserve">. </w:t>
            </w:r>
            <w:r w:rsidRPr="00707A38">
              <w:rPr>
                <w:rFonts w:ascii="Times New Roman" w:hAnsi="Times New Roman" w:cs="Times New Roman"/>
                <w:sz w:val="20"/>
                <w:szCs w:val="20"/>
              </w:rPr>
              <w:t>(O)</w:t>
            </w:r>
          </w:p>
        </w:tc>
        <w:tc>
          <w:tcPr>
            <w:tcW w:w="1556" w:type="dxa"/>
            <w:tcBorders>
              <w:top w:val="nil"/>
              <w:bottom w:val="single" w:sz="4" w:space="0" w:color="auto"/>
            </w:tcBorders>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T</w:t>
            </w:r>
            <w:r w:rsidR="00E30761">
              <w:rPr>
                <w:rFonts w:ascii="Times New Roman" w:hAnsi="Times New Roman" w:cs="Times New Roman"/>
                <w:sz w:val="20"/>
                <w:szCs w:val="20"/>
              </w:rPr>
              <w:t>.</w:t>
            </w:r>
            <w:r w:rsidRPr="00707A38">
              <w:rPr>
                <w:rFonts w:ascii="Times New Roman" w:hAnsi="Times New Roman" w:cs="Times New Roman"/>
                <w:sz w:val="20"/>
                <w:szCs w:val="20"/>
              </w:rPr>
              <w:t>A</w:t>
            </w:r>
            <w:r w:rsidR="00E30761">
              <w:rPr>
                <w:rFonts w:ascii="Times New Roman" w:hAnsi="Times New Roman" w:cs="Times New Roman"/>
                <w:sz w:val="20"/>
                <w:szCs w:val="20"/>
              </w:rPr>
              <w:t>.</w:t>
            </w:r>
            <w:r w:rsidRPr="00707A38">
              <w:rPr>
                <w:rFonts w:ascii="Times New Roman" w:hAnsi="Times New Roman" w:cs="Times New Roman"/>
                <w:sz w:val="20"/>
                <w:szCs w:val="20"/>
              </w:rPr>
              <w:t>(I)</w:t>
            </w:r>
          </w:p>
        </w:tc>
        <w:tc>
          <w:tcPr>
            <w:tcW w:w="1212" w:type="dxa"/>
            <w:tcBorders>
              <w:top w:val="nil"/>
              <w:bottom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O</w:t>
            </w:r>
            <w:r w:rsidR="00E30761">
              <w:rPr>
                <w:rFonts w:ascii="Times New Roman" w:hAnsi="Times New Roman" w:cs="Times New Roman"/>
                <w:sz w:val="20"/>
                <w:szCs w:val="20"/>
              </w:rPr>
              <w:t>.</w:t>
            </w:r>
            <w:r w:rsidRPr="00707A38">
              <w:rPr>
                <w:rFonts w:ascii="Times New Roman" w:hAnsi="Times New Roman" w:cs="Times New Roman"/>
                <w:sz w:val="20"/>
                <w:szCs w:val="20"/>
              </w:rPr>
              <w:t>E</w:t>
            </w:r>
            <w:r w:rsidR="00E30761">
              <w:rPr>
                <w:rFonts w:ascii="Times New Roman" w:hAnsi="Times New Roman" w:cs="Times New Roman"/>
                <w:sz w:val="20"/>
                <w:szCs w:val="20"/>
              </w:rPr>
              <w:t>.</w:t>
            </w:r>
            <w:r w:rsidRPr="00707A38">
              <w:rPr>
                <w:rFonts w:ascii="Times New Roman" w:hAnsi="Times New Roman" w:cs="Times New Roman"/>
                <w:sz w:val="20"/>
                <w:szCs w:val="20"/>
              </w:rPr>
              <w:t>(I)</w:t>
            </w:r>
          </w:p>
        </w:tc>
        <w:tc>
          <w:tcPr>
            <w:tcW w:w="1388" w:type="dxa"/>
            <w:tcBorders>
              <w:top w:val="nil"/>
              <w:bottom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N</w:t>
            </w:r>
            <w:r w:rsidR="00E30761">
              <w:rPr>
                <w:rFonts w:ascii="Times New Roman" w:hAnsi="Times New Roman" w:cs="Times New Roman"/>
                <w:sz w:val="20"/>
                <w:szCs w:val="20"/>
              </w:rPr>
              <w:t>.</w:t>
            </w:r>
            <w:r w:rsidRPr="00707A38">
              <w:rPr>
                <w:rFonts w:ascii="Times New Roman" w:hAnsi="Times New Roman" w:cs="Times New Roman"/>
                <w:sz w:val="20"/>
                <w:szCs w:val="20"/>
              </w:rPr>
              <w:t>O</w:t>
            </w:r>
            <w:r w:rsidR="00E30761">
              <w:rPr>
                <w:rFonts w:ascii="Times New Roman" w:hAnsi="Times New Roman" w:cs="Times New Roman"/>
                <w:sz w:val="20"/>
                <w:szCs w:val="20"/>
              </w:rPr>
              <w:t>.</w:t>
            </w:r>
            <w:r w:rsidRPr="00707A38">
              <w:rPr>
                <w:rFonts w:ascii="Times New Roman" w:hAnsi="Times New Roman" w:cs="Times New Roman"/>
                <w:sz w:val="20"/>
                <w:szCs w:val="20"/>
              </w:rPr>
              <w:t>E</w:t>
            </w:r>
            <w:r w:rsidR="00E30761">
              <w:rPr>
                <w:rFonts w:ascii="Times New Roman" w:hAnsi="Times New Roman" w:cs="Times New Roman"/>
                <w:sz w:val="20"/>
                <w:szCs w:val="20"/>
              </w:rPr>
              <w:t>.</w:t>
            </w:r>
            <w:r w:rsidRPr="00707A38">
              <w:rPr>
                <w:rFonts w:ascii="Times New Roman" w:hAnsi="Times New Roman" w:cs="Times New Roman"/>
                <w:sz w:val="20"/>
                <w:szCs w:val="20"/>
              </w:rPr>
              <w:t>(I)</w:t>
            </w:r>
          </w:p>
        </w:tc>
      </w:tr>
      <w:tr w:rsidR="00B478B0" w:rsidRPr="00707A38" w:rsidTr="00E30761">
        <w:trPr>
          <w:trHeight w:val="300"/>
        </w:trPr>
        <w:tc>
          <w:tcPr>
            <w:tcW w:w="906" w:type="dxa"/>
            <w:tcBorders>
              <w:top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MAX</w:t>
            </w:r>
          </w:p>
        </w:tc>
        <w:tc>
          <w:tcPr>
            <w:tcW w:w="1141" w:type="dxa"/>
            <w:tcBorders>
              <w:top w:val="single" w:sz="4" w:space="0" w:color="auto"/>
            </w:tcBorders>
            <w:vAlign w:val="bottom"/>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7401000</w:t>
            </w:r>
          </w:p>
        </w:tc>
        <w:tc>
          <w:tcPr>
            <w:tcW w:w="1446" w:type="dxa"/>
            <w:tcBorders>
              <w:top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173940</w:t>
            </w:r>
          </w:p>
        </w:tc>
        <w:tc>
          <w:tcPr>
            <w:tcW w:w="1377" w:type="dxa"/>
            <w:tcBorders>
              <w:top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20961.6</w:t>
            </w:r>
          </w:p>
        </w:tc>
        <w:tc>
          <w:tcPr>
            <w:tcW w:w="1556" w:type="dxa"/>
            <w:tcBorders>
              <w:top w:val="single" w:sz="4" w:space="0" w:color="auto"/>
            </w:tcBorders>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115367.5</w:t>
            </w:r>
          </w:p>
        </w:tc>
        <w:tc>
          <w:tcPr>
            <w:tcW w:w="1212" w:type="dxa"/>
            <w:tcBorders>
              <w:top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14417</w:t>
            </w:r>
          </w:p>
        </w:tc>
        <w:tc>
          <w:tcPr>
            <w:tcW w:w="1388" w:type="dxa"/>
            <w:tcBorders>
              <w:top w:val="single" w:sz="4" w:space="0" w:color="auto"/>
            </w:tcBorders>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16021</w:t>
            </w:r>
          </w:p>
        </w:tc>
      </w:tr>
      <w:tr w:rsidR="00B478B0" w:rsidRPr="00707A38" w:rsidTr="00E30761">
        <w:trPr>
          <w:trHeight w:val="300"/>
        </w:trPr>
        <w:tc>
          <w:tcPr>
            <w:tcW w:w="906"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MIN</w:t>
            </w:r>
          </w:p>
        </w:tc>
        <w:tc>
          <w:tcPr>
            <w:tcW w:w="1141" w:type="dxa"/>
            <w:vAlign w:val="bottom"/>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46</w:t>
            </w:r>
          </w:p>
        </w:tc>
        <w:tc>
          <w:tcPr>
            <w:tcW w:w="1446"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0.84725</w:t>
            </w:r>
          </w:p>
        </w:tc>
        <w:tc>
          <w:tcPr>
            <w:tcW w:w="1377"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3.8</w:t>
            </w:r>
          </w:p>
        </w:tc>
        <w:tc>
          <w:tcPr>
            <w:tcW w:w="1556" w:type="dxa"/>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53</w:t>
            </w:r>
          </w:p>
        </w:tc>
        <w:tc>
          <w:tcPr>
            <w:tcW w:w="1212"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5.7</w:t>
            </w:r>
          </w:p>
        </w:tc>
        <w:tc>
          <w:tcPr>
            <w:tcW w:w="1388"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20</w:t>
            </w:r>
          </w:p>
        </w:tc>
      </w:tr>
      <w:tr w:rsidR="00B478B0" w:rsidRPr="00707A38" w:rsidTr="00E30761">
        <w:trPr>
          <w:trHeight w:val="300"/>
        </w:trPr>
        <w:tc>
          <w:tcPr>
            <w:tcW w:w="906"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MEAN</w:t>
            </w:r>
          </w:p>
        </w:tc>
        <w:tc>
          <w:tcPr>
            <w:tcW w:w="1141" w:type="dxa"/>
            <w:vAlign w:val="bottom"/>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706451</w:t>
            </w:r>
          </w:p>
        </w:tc>
        <w:tc>
          <w:tcPr>
            <w:tcW w:w="1446"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11795.51654</w:t>
            </w:r>
          </w:p>
        </w:tc>
        <w:tc>
          <w:tcPr>
            <w:tcW w:w="1377"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2068.03528</w:t>
            </w:r>
          </w:p>
        </w:tc>
        <w:tc>
          <w:tcPr>
            <w:tcW w:w="1556" w:type="dxa"/>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12241.6248</w:t>
            </w:r>
          </w:p>
        </w:tc>
        <w:tc>
          <w:tcPr>
            <w:tcW w:w="1212"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1504.6656</w:t>
            </w:r>
          </w:p>
        </w:tc>
        <w:tc>
          <w:tcPr>
            <w:tcW w:w="1388"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1893</w:t>
            </w:r>
          </w:p>
        </w:tc>
      </w:tr>
      <w:tr w:rsidR="00B478B0" w:rsidRPr="00707A38" w:rsidTr="00E30761">
        <w:trPr>
          <w:trHeight w:val="300"/>
        </w:trPr>
        <w:tc>
          <w:tcPr>
            <w:tcW w:w="906"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SD</w:t>
            </w:r>
          </w:p>
        </w:tc>
        <w:tc>
          <w:tcPr>
            <w:tcW w:w="1141" w:type="dxa"/>
            <w:vAlign w:val="bottom"/>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1239852</w:t>
            </w:r>
          </w:p>
        </w:tc>
        <w:tc>
          <w:tcPr>
            <w:tcW w:w="1446"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23379.04</w:t>
            </w:r>
          </w:p>
        </w:tc>
        <w:tc>
          <w:tcPr>
            <w:tcW w:w="1377"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3400.69</w:t>
            </w:r>
          </w:p>
        </w:tc>
        <w:tc>
          <w:tcPr>
            <w:tcW w:w="1556" w:type="dxa"/>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19587.48</w:t>
            </w:r>
          </w:p>
        </w:tc>
        <w:tc>
          <w:tcPr>
            <w:tcW w:w="1212"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2336.21</w:t>
            </w:r>
          </w:p>
        </w:tc>
        <w:tc>
          <w:tcPr>
            <w:tcW w:w="1388" w:type="dxa"/>
            <w:noWrap/>
            <w:hideMark/>
          </w:tcPr>
          <w:p w:rsidR="00B478B0" w:rsidRPr="00707A38" w:rsidRDefault="00B478B0" w:rsidP="009A5067">
            <w:pPr>
              <w:jc w:val="both"/>
              <w:rPr>
                <w:rFonts w:ascii="Times New Roman" w:hAnsi="Times New Roman" w:cs="Times New Roman"/>
                <w:sz w:val="20"/>
                <w:szCs w:val="20"/>
              </w:rPr>
            </w:pPr>
            <w:r w:rsidRPr="00707A38">
              <w:rPr>
                <w:rFonts w:ascii="Times New Roman" w:hAnsi="Times New Roman" w:cs="Times New Roman"/>
                <w:sz w:val="20"/>
                <w:szCs w:val="20"/>
              </w:rPr>
              <w:t>2760</w:t>
            </w:r>
          </w:p>
        </w:tc>
      </w:tr>
    </w:tbl>
    <w:p w:rsidR="00414D3D" w:rsidRDefault="00707A38" w:rsidP="00A4776A">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Note: </w:t>
      </w:r>
      <w:r w:rsidR="00A4776A" w:rsidRPr="00A4776A">
        <w:rPr>
          <w:rFonts w:ascii="Times New Roman" w:hAnsi="Times New Roman" w:cs="Times New Roman"/>
          <w:sz w:val="20"/>
          <w:szCs w:val="20"/>
        </w:rPr>
        <w:t>SPSS</w:t>
      </w:r>
      <w:r w:rsidR="00414D3D">
        <w:rPr>
          <w:rFonts w:ascii="Times New Roman" w:hAnsi="Times New Roman" w:cs="Times New Roman"/>
          <w:sz w:val="20"/>
          <w:szCs w:val="20"/>
        </w:rPr>
        <w:t xml:space="preserve"> results</w:t>
      </w:r>
      <w:r w:rsidR="00A4776A" w:rsidRPr="00A4776A">
        <w:rPr>
          <w:rFonts w:ascii="Times New Roman" w:hAnsi="Times New Roman" w:cs="Times New Roman"/>
          <w:sz w:val="20"/>
          <w:szCs w:val="20"/>
        </w:rPr>
        <w:t>.</w:t>
      </w:r>
      <w:r w:rsidR="00414D3D">
        <w:rPr>
          <w:rFonts w:ascii="Times New Roman" w:hAnsi="Times New Roman" w:cs="Times New Roman"/>
          <w:sz w:val="20"/>
          <w:szCs w:val="20"/>
        </w:rPr>
        <w:t xml:space="preserve"> F</w:t>
      </w:r>
      <w:r w:rsidR="009A5067">
        <w:rPr>
          <w:rFonts w:ascii="Times New Roman" w:hAnsi="Times New Roman" w:cs="Times New Roman"/>
          <w:sz w:val="20"/>
          <w:szCs w:val="20"/>
        </w:rPr>
        <w:t>.</w:t>
      </w:r>
      <w:r w:rsidR="00414D3D">
        <w:rPr>
          <w:rFonts w:ascii="Times New Roman" w:hAnsi="Times New Roman" w:cs="Times New Roman"/>
          <w:sz w:val="20"/>
          <w:szCs w:val="20"/>
        </w:rPr>
        <w:t>E</w:t>
      </w:r>
      <w:r w:rsidR="009A5067">
        <w:rPr>
          <w:rFonts w:ascii="Times New Roman" w:hAnsi="Times New Roman" w:cs="Times New Roman"/>
          <w:sz w:val="20"/>
          <w:szCs w:val="20"/>
        </w:rPr>
        <w:t>.</w:t>
      </w:r>
      <w:r w:rsidR="003113CF">
        <w:rPr>
          <w:rFonts w:ascii="Times New Roman" w:hAnsi="Times New Roman" w:cs="Times New Roman"/>
          <w:sz w:val="20"/>
          <w:szCs w:val="20"/>
        </w:rPr>
        <w:t>=</w:t>
      </w:r>
      <w:r w:rsidR="003113CF" w:rsidRPr="003113CF">
        <w:rPr>
          <w:rFonts w:ascii="Times New Roman" w:hAnsi="Times New Roman" w:cs="Times New Roman"/>
          <w:sz w:val="20"/>
          <w:szCs w:val="20"/>
        </w:rPr>
        <w:t xml:space="preserve"> </w:t>
      </w:r>
      <w:r w:rsidR="003113CF" w:rsidRPr="00A4776A">
        <w:rPr>
          <w:rFonts w:ascii="Times New Roman" w:hAnsi="Times New Roman" w:cs="Times New Roman"/>
          <w:sz w:val="20"/>
          <w:szCs w:val="20"/>
        </w:rPr>
        <w:t>Financial Efficiency</w:t>
      </w:r>
      <w:r w:rsidR="00A4776A" w:rsidRPr="00A4776A">
        <w:rPr>
          <w:rFonts w:ascii="Times New Roman" w:hAnsi="Times New Roman" w:cs="Times New Roman"/>
          <w:sz w:val="20"/>
          <w:szCs w:val="20"/>
        </w:rPr>
        <w:t xml:space="preserve"> and </w:t>
      </w:r>
      <w:r w:rsidR="00414D3D">
        <w:rPr>
          <w:rFonts w:ascii="Times New Roman" w:hAnsi="Times New Roman" w:cs="Times New Roman"/>
          <w:sz w:val="20"/>
          <w:szCs w:val="20"/>
        </w:rPr>
        <w:t>is S</w:t>
      </w:r>
      <w:r w:rsidR="009A5067">
        <w:rPr>
          <w:rFonts w:ascii="Times New Roman" w:hAnsi="Times New Roman" w:cs="Times New Roman"/>
          <w:sz w:val="20"/>
          <w:szCs w:val="20"/>
        </w:rPr>
        <w:t>.</w:t>
      </w:r>
      <w:r w:rsidR="00414D3D">
        <w:rPr>
          <w:rFonts w:ascii="Times New Roman" w:hAnsi="Times New Roman" w:cs="Times New Roman"/>
          <w:sz w:val="20"/>
          <w:szCs w:val="20"/>
        </w:rPr>
        <w:t>E</w:t>
      </w:r>
      <w:r w:rsidR="003113CF">
        <w:rPr>
          <w:rFonts w:ascii="Times New Roman" w:hAnsi="Times New Roman" w:cs="Times New Roman"/>
          <w:sz w:val="20"/>
          <w:szCs w:val="20"/>
        </w:rPr>
        <w:t xml:space="preserve">= </w:t>
      </w:r>
      <w:r w:rsidR="003113CF" w:rsidRPr="00A4776A">
        <w:rPr>
          <w:rFonts w:ascii="Times New Roman" w:hAnsi="Times New Roman" w:cs="Times New Roman"/>
          <w:sz w:val="20"/>
          <w:szCs w:val="20"/>
        </w:rPr>
        <w:t>Social Efficiency Models</w:t>
      </w:r>
      <w:r w:rsidR="003113CF">
        <w:rPr>
          <w:rFonts w:ascii="Times New Roman" w:hAnsi="Times New Roman" w:cs="Times New Roman"/>
          <w:sz w:val="20"/>
          <w:szCs w:val="20"/>
        </w:rPr>
        <w:t xml:space="preserve">, </w:t>
      </w:r>
      <w:r w:rsidR="00A4776A" w:rsidRPr="00A4776A">
        <w:rPr>
          <w:rFonts w:ascii="Times New Roman" w:hAnsi="Times New Roman" w:cs="Times New Roman"/>
          <w:sz w:val="20"/>
          <w:szCs w:val="20"/>
        </w:rPr>
        <w:t>O= Output</w:t>
      </w:r>
      <w:r w:rsidR="000046A7">
        <w:rPr>
          <w:rFonts w:ascii="Times New Roman" w:hAnsi="Times New Roman" w:cs="Times New Roman"/>
          <w:sz w:val="20"/>
          <w:szCs w:val="20"/>
        </w:rPr>
        <w:t>,</w:t>
      </w:r>
      <w:r w:rsidR="00A4776A" w:rsidRPr="00A4776A">
        <w:rPr>
          <w:rFonts w:ascii="Times New Roman" w:hAnsi="Times New Roman" w:cs="Times New Roman"/>
          <w:sz w:val="20"/>
          <w:szCs w:val="20"/>
        </w:rPr>
        <w:t xml:space="preserve"> and I= Input Variable</w:t>
      </w:r>
      <w:r w:rsidR="00414D3D">
        <w:rPr>
          <w:rFonts w:ascii="Times New Roman" w:hAnsi="Times New Roman" w:cs="Times New Roman"/>
          <w:sz w:val="20"/>
          <w:szCs w:val="20"/>
        </w:rPr>
        <w:t>.</w:t>
      </w:r>
    </w:p>
    <w:p w:rsidR="00707A38" w:rsidRPr="00707A38" w:rsidRDefault="00707A38" w:rsidP="00A4776A">
      <w:pPr>
        <w:spacing w:line="240" w:lineRule="auto"/>
        <w:jc w:val="both"/>
        <w:rPr>
          <w:rFonts w:ascii="Times New Roman" w:hAnsi="Times New Roman" w:cs="Times New Roman"/>
          <w:b/>
          <w:sz w:val="24"/>
          <w:szCs w:val="24"/>
        </w:rPr>
      </w:pPr>
      <w:r w:rsidRPr="00707A38">
        <w:rPr>
          <w:rFonts w:ascii="Times New Roman" w:hAnsi="Times New Roman" w:cs="Times New Roman"/>
          <w:b/>
          <w:sz w:val="24"/>
          <w:szCs w:val="24"/>
        </w:rPr>
        <w:t xml:space="preserve">4.2.2 </w:t>
      </w:r>
      <w:r w:rsidR="00132E43" w:rsidRPr="00132E43">
        <w:rPr>
          <w:rFonts w:ascii="Times New Roman" w:hAnsi="Times New Roman" w:cs="Times New Roman"/>
          <w:b/>
          <w:sz w:val="24"/>
          <w:szCs w:val="24"/>
        </w:rPr>
        <w:t>The Model's Validity in Evaluating Efficiency</w:t>
      </w:r>
    </w:p>
    <w:p w:rsidR="00E64B59" w:rsidRDefault="00E64B59" w:rsidP="00707A38">
      <w:pPr>
        <w:spacing w:line="480" w:lineRule="auto"/>
        <w:jc w:val="both"/>
        <w:rPr>
          <w:rFonts w:ascii="Times New Roman" w:hAnsi="Times New Roman" w:cs="Times New Roman"/>
          <w:sz w:val="24"/>
          <w:szCs w:val="24"/>
        </w:rPr>
      </w:pPr>
    </w:p>
    <w:p w:rsidR="009B24F0" w:rsidRDefault="009B24F0"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The validity of the variable sele</w:t>
      </w:r>
      <w:r w:rsidR="00E54FD0">
        <w:rPr>
          <w:rFonts w:ascii="Times New Roman" w:hAnsi="Times New Roman" w:cs="Times New Roman"/>
          <w:sz w:val="24"/>
          <w:szCs w:val="24"/>
        </w:rPr>
        <w:t>c</w:t>
      </w:r>
      <w:r>
        <w:rPr>
          <w:rFonts w:ascii="Times New Roman" w:hAnsi="Times New Roman" w:cs="Times New Roman"/>
          <w:sz w:val="24"/>
          <w:szCs w:val="24"/>
        </w:rPr>
        <w:t>tion for the FE and SE models, following steps</w:t>
      </w:r>
      <w:r w:rsidR="00C222F7">
        <w:rPr>
          <w:rFonts w:ascii="Times New Roman" w:hAnsi="Times New Roman" w:cs="Times New Roman"/>
          <w:sz w:val="24"/>
          <w:szCs w:val="24"/>
        </w:rPr>
        <w:t>,</w:t>
      </w:r>
      <w:r>
        <w:rPr>
          <w:rFonts w:ascii="Times New Roman" w:hAnsi="Times New Roman" w:cs="Times New Roman"/>
          <w:sz w:val="24"/>
          <w:szCs w:val="24"/>
        </w:rPr>
        <w:t xml:space="preserve"> </w:t>
      </w:r>
      <w:r w:rsidR="006F2BC6">
        <w:rPr>
          <w:rFonts w:ascii="Times New Roman" w:hAnsi="Times New Roman" w:cs="Times New Roman"/>
          <w:sz w:val="24"/>
          <w:szCs w:val="24"/>
        </w:rPr>
        <w:t>is followed: the isotonicity test is conducted, examining how changes in inputs affect</w:t>
      </w:r>
      <w:r w:rsidR="00B11A04" w:rsidRPr="00B11A04">
        <w:rPr>
          <w:rFonts w:ascii="Times New Roman" w:hAnsi="Times New Roman" w:cs="Times New Roman"/>
          <w:sz w:val="24"/>
          <w:szCs w:val="24"/>
        </w:rPr>
        <w:t xml:space="preserve"> outputs. </w:t>
      </w:r>
      <w:r>
        <w:rPr>
          <w:rFonts w:ascii="Times New Roman" w:hAnsi="Times New Roman" w:cs="Times New Roman"/>
          <w:sz w:val="24"/>
          <w:szCs w:val="24"/>
        </w:rPr>
        <w:t xml:space="preserve">The test will check the correlation among the output and the input variable (Table 4 (a) and (b)). </w:t>
      </w:r>
      <w:r w:rsidR="006439F9">
        <w:rPr>
          <w:rFonts w:ascii="Times New Roman" w:hAnsi="Times New Roman" w:cs="Times New Roman"/>
          <w:sz w:val="24"/>
          <w:szCs w:val="24"/>
        </w:rPr>
        <w:t>The results indicate the association is significant and validate the efficiency models.</w:t>
      </w:r>
    </w:p>
    <w:p w:rsidR="00707A38" w:rsidRPr="00707A38" w:rsidRDefault="002A1A2E"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4(a) </w:t>
      </w:r>
      <w:r w:rsidR="00707A38" w:rsidRPr="00707A38">
        <w:rPr>
          <w:rFonts w:ascii="Times New Roman" w:hAnsi="Times New Roman" w:cs="Times New Roman"/>
          <w:sz w:val="20"/>
          <w:szCs w:val="20"/>
        </w:rPr>
        <w:t>Test of Isotonicity</w:t>
      </w:r>
      <w:r>
        <w:rPr>
          <w:rFonts w:ascii="Times New Roman" w:hAnsi="Times New Roman" w:cs="Times New Roman"/>
          <w:sz w:val="20"/>
          <w:szCs w:val="20"/>
        </w:rPr>
        <w:t>- Financial Efficiency</w:t>
      </w:r>
    </w:p>
    <w:tbl>
      <w:tblPr>
        <w:tblW w:w="5649" w:type="dxa"/>
        <w:tblLook w:val="04A0" w:firstRow="1" w:lastRow="0" w:firstColumn="1" w:lastColumn="0" w:noHBand="0" w:noVBand="1"/>
      </w:tblPr>
      <w:tblGrid>
        <w:gridCol w:w="766"/>
        <w:gridCol w:w="983"/>
        <w:gridCol w:w="1168"/>
        <w:gridCol w:w="983"/>
        <w:gridCol w:w="983"/>
        <w:gridCol w:w="766"/>
      </w:tblGrid>
      <w:tr w:rsidR="00707A38" w:rsidRPr="00707A38" w:rsidTr="00DB681F">
        <w:trPr>
          <w:trHeight w:val="304"/>
        </w:trPr>
        <w:tc>
          <w:tcPr>
            <w:tcW w:w="766" w:type="dxa"/>
            <w:tcBorders>
              <w:top w:val="single" w:sz="8" w:space="0" w:color="auto"/>
              <w:left w:val="nil"/>
              <w:bottom w:val="single" w:sz="4" w:space="0" w:color="auto"/>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i/>
                <w:iCs/>
                <w:sz w:val="20"/>
                <w:szCs w:val="20"/>
                <w:lang w:eastAsia="en-IN"/>
              </w:rPr>
            </w:pPr>
            <w:r w:rsidRPr="00707A38">
              <w:rPr>
                <w:rFonts w:ascii="Times New Roman" w:eastAsia="Times New Roman" w:hAnsi="Times New Roman" w:cs="Times New Roman"/>
                <w:i/>
                <w:iCs/>
                <w:sz w:val="20"/>
                <w:szCs w:val="20"/>
                <w:lang w:eastAsia="en-IN"/>
              </w:rPr>
              <w:t> </w:t>
            </w:r>
          </w:p>
        </w:tc>
        <w:tc>
          <w:tcPr>
            <w:tcW w:w="983" w:type="dxa"/>
            <w:tcBorders>
              <w:top w:val="single" w:sz="8" w:space="0" w:color="auto"/>
              <w:left w:val="nil"/>
              <w:bottom w:val="single" w:sz="4" w:space="0" w:color="auto"/>
              <w:right w:val="nil"/>
            </w:tcBorders>
            <w:shd w:val="clear" w:color="auto" w:fill="auto"/>
            <w:noWrap/>
            <w:vAlign w:val="bottom"/>
            <w:hideMark/>
          </w:tcPr>
          <w:p w:rsidR="00707A38" w:rsidRPr="00707A38" w:rsidRDefault="00707A38" w:rsidP="00DB681F">
            <w:pPr>
              <w:spacing w:after="0" w:line="240" w:lineRule="auto"/>
              <w:jc w:val="both"/>
              <w:rPr>
                <w:rFonts w:ascii="Times New Roman" w:eastAsia="Times New Roman" w:hAnsi="Times New Roman" w:cs="Times New Roman"/>
                <w:i/>
                <w:iCs/>
                <w:sz w:val="20"/>
                <w:szCs w:val="20"/>
                <w:lang w:eastAsia="en-IN"/>
              </w:rPr>
            </w:pPr>
            <w:r w:rsidRPr="00707A38">
              <w:rPr>
                <w:rFonts w:ascii="Times New Roman" w:eastAsia="Times New Roman" w:hAnsi="Times New Roman" w:cs="Times New Roman"/>
                <w:i/>
                <w:iCs/>
                <w:sz w:val="20"/>
                <w:szCs w:val="20"/>
                <w:lang w:eastAsia="en-IN"/>
              </w:rPr>
              <w:t>GLP</w:t>
            </w:r>
          </w:p>
        </w:tc>
        <w:tc>
          <w:tcPr>
            <w:tcW w:w="1168" w:type="dxa"/>
            <w:tcBorders>
              <w:top w:val="single" w:sz="8" w:space="0" w:color="auto"/>
              <w:left w:val="nil"/>
              <w:bottom w:val="single" w:sz="4" w:space="0" w:color="auto"/>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i/>
                <w:iCs/>
                <w:sz w:val="20"/>
                <w:szCs w:val="20"/>
                <w:lang w:eastAsia="en-IN"/>
              </w:rPr>
            </w:pPr>
            <w:r w:rsidRPr="00707A38">
              <w:rPr>
                <w:rFonts w:ascii="Times New Roman" w:eastAsia="Times New Roman" w:hAnsi="Times New Roman" w:cs="Times New Roman"/>
                <w:i/>
                <w:iCs/>
                <w:sz w:val="20"/>
                <w:szCs w:val="20"/>
                <w:lang w:eastAsia="en-IN"/>
              </w:rPr>
              <w:t>O</w:t>
            </w:r>
            <w:r w:rsidR="00DB681F">
              <w:rPr>
                <w:rFonts w:ascii="Times New Roman" w:eastAsia="Times New Roman" w:hAnsi="Times New Roman" w:cs="Times New Roman"/>
                <w:i/>
                <w:iCs/>
                <w:sz w:val="20"/>
                <w:szCs w:val="20"/>
                <w:lang w:eastAsia="en-IN"/>
              </w:rPr>
              <w:t>I</w:t>
            </w:r>
          </w:p>
        </w:tc>
        <w:tc>
          <w:tcPr>
            <w:tcW w:w="983" w:type="dxa"/>
            <w:tcBorders>
              <w:top w:val="single" w:sz="8" w:space="0" w:color="auto"/>
              <w:left w:val="nil"/>
              <w:bottom w:val="single" w:sz="4" w:space="0" w:color="auto"/>
              <w:right w:val="nil"/>
            </w:tcBorders>
            <w:shd w:val="clear" w:color="auto" w:fill="auto"/>
            <w:noWrap/>
            <w:vAlign w:val="bottom"/>
            <w:hideMark/>
          </w:tcPr>
          <w:p w:rsidR="00707A38" w:rsidRPr="00707A38" w:rsidRDefault="00DB681F"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TA</w:t>
            </w:r>
          </w:p>
        </w:tc>
        <w:tc>
          <w:tcPr>
            <w:tcW w:w="983" w:type="dxa"/>
            <w:tcBorders>
              <w:top w:val="single" w:sz="8" w:space="0" w:color="auto"/>
              <w:left w:val="nil"/>
              <w:bottom w:val="single" w:sz="4" w:space="0" w:color="auto"/>
              <w:right w:val="nil"/>
            </w:tcBorders>
            <w:shd w:val="clear" w:color="auto" w:fill="auto"/>
            <w:noWrap/>
            <w:vAlign w:val="bottom"/>
            <w:hideMark/>
          </w:tcPr>
          <w:p w:rsidR="00707A38" w:rsidRPr="00707A38" w:rsidRDefault="00DB681F"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OE</w:t>
            </w:r>
          </w:p>
        </w:tc>
        <w:tc>
          <w:tcPr>
            <w:tcW w:w="766" w:type="dxa"/>
            <w:tcBorders>
              <w:top w:val="single" w:sz="8" w:space="0" w:color="auto"/>
              <w:left w:val="nil"/>
              <w:bottom w:val="single" w:sz="4" w:space="0" w:color="auto"/>
              <w:right w:val="nil"/>
            </w:tcBorders>
            <w:shd w:val="clear" w:color="auto" w:fill="auto"/>
            <w:noWrap/>
            <w:vAlign w:val="bottom"/>
            <w:hideMark/>
          </w:tcPr>
          <w:p w:rsidR="00707A38" w:rsidRPr="00707A38" w:rsidRDefault="00DB681F"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NOE</w:t>
            </w:r>
          </w:p>
        </w:tc>
      </w:tr>
      <w:tr w:rsidR="00707A38" w:rsidRPr="00707A38" w:rsidTr="00DB681F">
        <w:trPr>
          <w:trHeight w:val="304"/>
        </w:trPr>
        <w:tc>
          <w:tcPr>
            <w:tcW w:w="766"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GLP</w:t>
            </w: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1168"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r>
      <w:tr w:rsidR="00707A38" w:rsidRPr="00707A38" w:rsidTr="00DB681F">
        <w:trPr>
          <w:trHeight w:val="304"/>
        </w:trPr>
        <w:tc>
          <w:tcPr>
            <w:tcW w:w="766"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OI</w:t>
            </w:r>
          </w:p>
        </w:tc>
        <w:tc>
          <w:tcPr>
            <w:tcW w:w="983" w:type="dxa"/>
            <w:tcBorders>
              <w:top w:val="nil"/>
              <w:left w:val="nil"/>
              <w:bottom w:val="nil"/>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0.888</w:t>
            </w:r>
          </w:p>
        </w:tc>
        <w:tc>
          <w:tcPr>
            <w:tcW w:w="1168"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r>
      <w:tr w:rsidR="00707A38" w:rsidRPr="00707A38" w:rsidTr="00DB681F">
        <w:trPr>
          <w:trHeight w:val="304"/>
        </w:trPr>
        <w:tc>
          <w:tcPr>
            <w:tcW w:w="766"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TA</w:t>
            </w:r>
          </w:p>
        </w:tc>
        <w:tc>
          <w:tcPr>
            <w:tcW w:w="983" w:type="dxa"/>
            <w:tcBorders>
              <w:top w:val="nil"/>
              <w:left w:val="nil"/>
              <w:bottom w:val="nil"/>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0.881</w:t>
            </w:r>
          </w:p>
        </w:tc>
        <w:tc>
          <w:tcPr>
            <w:tcW w:w="1168" w:type="dxa"/>
            <w:tcBorders>
              <w:top w:val="nil"/>
              <w:left w:val="nil"/>
              <w:bottom w:val="nil"/>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0.994</w:t>
            </w:r>
            <w:r w:rsidR="00707A38" w:rsidRPr="00707A38">
              <w:rPr>
                <w:rFonts w:ascii="Times New Roman" w:hAnsi="Times New Roman" w:cs="Times New Roman"/>
                <w:sz w:val="20"/>
                <w:szCs w:val="20"/>
              </w:rPr>
              <w:t>***</w:t>
            </w: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r>
      <w:tr w:rsidR="00707A38" w:rsidRPr="00707A38" w:rsidTr="00DB681F">
        <w:trPr>
          <w:trHeight w:val="304"/>
        </w:trPr>
        <w:tc>
          <w:tcPr>
            <w:tcW w:w="766"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OE</w:t>
            </w:r>
          </w:p>
        </w:tc>
        <w:tc>
          <w:tcPr>
            <w:tcW w:w="983" w:type="dxa"/>
            <w:tcBorders>
              <w:top w:val="nil"/>
              <w:left w:val="nil"/>
              <w:bottom w:val="nil"/>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0.911</w:t>
            </w:r>
            <w:r w:rsidR="00707A38" w:rsidRPr="00707A38">
              <w:rPr>
                <w:rFonts w:ascii="Times New Roman" w:hAnsi="Times New Roman" w:cs="Times New Roman"/>
                <w:sz w:val="20"/>
                <w:szCs w:val="20"/>
              </w:rPr>
              <w:t>*</w:t>
            </w:r>
          </w:p>
        </w:tc>
        <w:tc>
          <w:tcPr>
            <w:tcW w:w="1168" w:type="dxa"/>
            <w:tcBorders>
              <w:top w:val="nil"/>
              <w:left w:val="nil"/>
              <w:bottom w:val="nil"/>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0.989</w:t>
            </w:r>
            <w:r w:rsidR="00707A38" w:rsidRPr="00707A38">
              <w:rPr>
                <w:rFonts w:ascii="Times New Roman" w:hAnsi="Times New Roman" w:cs="Times New Roman"/>
                <w:sz w:val="20"/>
                <w:szCs w:val="20"/>
              </w:rPr>
              <w:t>**</w:t>
            </w:r>
          </w:p>
        </w:tc>
        <w:tc>
          <w:tcPr>
            <w:tcW w:w="983" w:type="dxa"/>
            <w:tcBorders>
              <w:top w:val="nil"/>
              <w:left w:val="nil"/>
              <w:bottom w:val="nil"/>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0.986</w:t>
            </w:r>
            <w:r w:rsidR="00707A38" w:rsidRPr="00707A38">
              <w:rPr>
                <w:rFonts w:ascii="Times New Roman" w:hAnsi="Times New Roman" w:cs="Times New Roman"/>
                <w:sz w:val="20"/>
                <w:szCs w:val="20"/>
              </w:rPr>
              <w:t>**</w:t>
            </w:r>
          </w:p>
        </w:tc>
        <w:tc>
          <w:tcPr>
            <w:tcW w:w="983"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766"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r>
      <w:tr w:rsidR="00707A38" w:rsidRPr="00707A38" w:rsidTr="00DB681F">
        <w:trPr>
          <w:trHeight w:val="319"/>
        </w:trPr>
        <w:tc>
          <w:tcPr>
            <w:tcW w:w="766" w:type="dxa"/>
            <w:tcBorders>
              <w:top w:val="nil"/>
              <w:left w:val="nil"/>
              <w:bottom w:val="single" w:sz="8" w:space="0" w:color="auto"/>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NOE</w:t>
            </w:r>
          </w:p>
        </w:tc>
        <w:tc>
          <w:tcPr>
            <w:tcW w:w="983" w:type="dxa"/>
            <w:tcBorders>
              <w:top w:val="nil"/>
              <w:left w:val="nil"/>
              <w:bottom w:val="single" w:sz="8" w:space="0" w:color="auto"/>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0.908</w:t>
            </w:r>
            <w:r w:rsidR="00707A38" w:rsidRPr="00707A38">
              <w:rPr>
                <w:rFonts w:ascii="Times New Roman" w:hAnsi="Times New Roman" w:cs="Times New Roman"/>
                <w:sz w:val="20"/>
                <w:szCs w:val="20"/>
              </w:rPr>
              <w:t>*</w:t>
            </w:r>
          </w:p>
        </w:tc>
        <w:tc>
          <w:tcPr>
            <w:tcW w:w="1168" w:type="dxa"/>
            <w:tcBorders>
              <w:top w:val="nil"/>
              <w:left w:val="nil"/>
              <w:bottom w:val="single" w:sz="8" w:space="0" w:color="auto"/>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0.933</w:t>
            </w:r>
            <w:r w:rsidR="00707A38" w:rsidRPr="00707A38">
              <w:rPr>
                <w:rFonts w:ascii="Times New Roman" w:hAnsi="Times New Roman" w:cs="Times New Roman"/>
                <w:sz w:val="20"/>
                <w:szCs w:val="20"/>
              </w:rPr>
              <w:t>*</w:t>
            </w:r>
          </w:p>
        </w:tc>
        <w:tc>
          <w:tcPr>
            <w:tcW w:w="983" w:type="dxa"/>
            <w:tcBorders>
              <w:top w:val="nil"/>
              <w:left w:val="nil"/>
              <w:bottom w:val="single" w:sz="8" w:space="0" w:color="auto"/>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0.925</w:t>
            </w:r>
            <w:r w:rsidR="00707A38" w:rsidRPr="00707A38">
              <w:rPr>
                <w:rFonts w:ascii="Times New Roman" w:hAnsi="Times New Roman" w:cs="Times New Roman"/>
                <w:sz w:val="20"/>
                <w:szCs w:val="20"/>
              </w:rPr>
              <w:t>*</w:t>
            </w:r>
          </w:p>
        </w:tc>
        <w:tc>
          <w:tcPr>
            <w:tcW w:w="983" w:type="dxa"/>
            <w:tcBorders>
              <w:top w:val="nil"/>
              <w:left w:val="nil"/>
              <w:bottom w:val="single" w:sz="8" w:space="0" w:color="auto"/>
              <w:right w:val="nil"/>
            </w:tcBorders>
            <w:shd w:val="clear" w:color="auto" w:fill="auto"/>
            <w:noWrap/>
            <w:vAlign w:val="bottom"/>
            <w:hideMark/>
          </w:tcPr>
          <w:p w:rsidR="00707A38" w:rsidRPr="00707A38" w:rsidRDefault="007150C9"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0.941</w:t>
            </w:r>
            <w:r w:rsidR="00707A38" w:rsidRPr="00707A38">
              <w:rPr>
                <w:rFonts w:ascii="Times New Roman" w:hAnsi="Times New Roman" w:cs="Times New Roman"/>
                <w:sz w:val="20"/>
                <w:szCs w:val="20"/>
              </w:rPr>
              <w:t>*</w:t>
            </w:r>
          </w:p>
        </w:tc>
        <w:tc>
          <w:tcPr>
            <w:tcW w:w="766" w:type="dxa"/>
            <w:tcBorders>
              <w:top w:val="nil"/>
              <w:left w:val="nil"/>
              <w:bottom w:val="single" w:sz="8" w:space="0" w:color="auto"/>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r>
    </w:tbl>
    <w:p w:rsidR="00E00A56" w:rsidRDefault="00707A38" w:rsidP="00E00A56">
      <w:pPr>
        <w:spacing w:after="0"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Note: Authors Calculation </w:t>
      </w:r>
      <w:r w:rsidR="00E00A56" w:rsidRPr="00E00A56">
        <w:rPr>
          <w:rFonts w:ascii="Times New Roman" w:hAnsi="Times New Roman" w:cs="Times New Roman"/>
          <w:sz w:val="20"/>
          <w:szCs w:val="20"/>
        </w:rPr>
        <w:t xml:space="preserve">he matrix relationship is significant </w:t>
      </w:r>
    </w:p>
    <w:p w:rsidR="00E00A56" w:rsidRDefault="00E00A56" w:rsidP="00E00A56">
      <w:pPr>
        <w:spacing w:after="0" w:line="240" w:lineRule="auto"/>
        <w:jc w:val="both"/>
        <w:rPr>
          <w:rFonts w:ascii="Times New Roman" w:hAnsi="Times New Roman" w:cs="Times New Roman"/>
          <w:sz w:val="20"/>
          <w:szCs w:val="20"/>
        </w:rPr>
      </w:pPr>
      <w:r w:rsidRPr="00E00A56">
        <w:rPr>
          <w:rFonts w:ascii="Times New Roman" w:hAnsi="Times New Roman" w:cs="Times New Roman"/>
          <w:sz w:val="20"/>
          <w:szCs w:val="20"/>
        </w:rPr>
        <w:t>at the levels of ***1%, **5%, and *10%, respectively.</w:t>
      </w:r>
    </w:p>
    <w:p w:rsidR="00DB681F" w:rsidRDefault="008F7228" w:rsidP="00E00A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Output variable</w:t>
      </w:r>
      <w:r w:rsidR="000F0CE0">
        <w:rPr>
          <w:rFonts w:ascii="Times New Roman" w:hAnsi="Times New Roman" w:cs="Times New Roman"/>
          <w:sz w:val="20"/>
          <w:szCs w:val="20"/>
        </w:rPr>
        <w:t>- GLP, OI</w:t>
      </w:r>
    </w:p>
    <w:p w:rsidR="00DB681F" w:rsidRPr="00DB681F" w:rsidRDefault="00DB681F" w:rsidP="00DB681F">
      <w:pPr>
        <w:spacing w:after="0" w:line="240" w:lineRule="auto"/>
        <w:jc w:val="both"/>
        <w:rPr>
          <w:rFonts w:ascii="Times New Roman" w:hAnsi="Times New Roman" w:cs="Times New Roman"/>
          <w:sz w:val="20"/>
          <w:szCs w:val="20"/>
          <w:u w:val="single"/>
        </w:rPr>
      </w:pPr>
      <w:r w:rsidRPr="00DB681F">
        <w:rPr>
          <w:rFonts w:ascii="Times New Roman" w:hAnsi="Times New Roman" w:cs="Times New Roman"/>
          <w:sz w:val="20"/>
          <w:szCs w:val="20"/>
          <w:u w:val="single"/>
        </w:rPr>
        <w:t>I</w:t>
      </w:r>
      <w:r>
        <w:rPr>
          <w:rFonts w:ascii="Times New Roman" w:hAnsi="Times New Roman" w:cs="Times New Roman"/>
          <w:sz w:val="20"/>
          <w:szCs w:val="20"/>
          <w:u w:val="single"/>
        </w:rPr>
        <w:t xml:space="preserve">nput </w:t>
      </w:r>
      <w:r w:rsidR="000F0CE0">
        <w:rPr>
          <w:rFonts w:ascii="Times New Roman" w:hAnsi="Times New Roman" w:cs="Times New Roman"/>
          <w:sz w:val="20"/>
          <w:szCs w:val="20"/>
          <w:u w:val="single"/>
        </w:rPr>
        <w:t xml:space="preserve">variables- </w:t>
      </w:r>
      <w:r>
        <w:rPr>
          <w:rFonts w:ascii="Times New Roman" w:hAnsi="Times New Roman" w:cs="Times New Roman"/>
          <w:sz w:val="20"/>
          <w:szCs w:val="20"/>
          <w:u w:val="single"/>
        </w:rPr>
        <w:t>TA, OE, NOE.</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rsidR="00DB681F" w:rsidRPr="00707A38" w:rsidRDefault="00DB681F" w:rsidP="00DB681F">
      <w:pPr>
        <w:spacing w:after="0" w:line="240" w:lineRule="auto"/>
        <w:jc w:val="both"/>
        <w:rPr>
          <w:rFonts w:ascii="Times New Roman" w:hAnsi="Times New Roman" w:cs="Times New Roman"/>
          <w:sz w:val="20"/>
          <w:szCs w:val="20"/>
        </w:rPr>
      </w:pPr>
    </w:p>
    <w:p w:rsidR="00707A38" w:rsidRPr="00707A38" w:rsidRDefault="00707A38" w:rsidP="002A1A2E">
      <w:pPr>
        <w:spacing w:after="0" w:line="240" w:lineRule="auto"/>
        <w:jc w:val="both"/>
        <w:rPr>
          <w:rFonts w:ascii="Times New Roman" w:hAnsi="Times New Roman" w:cs="Times New Roman"/>
          <w:sz w:val="20"/>
          <w:szCs w:val="20"/>
        </w:rPr>
      </w:pPr>
      <w:r w:rsidRPr="00707A38">
        <w:rPr>
          <w:rFonts w:ascii="Times New Roman" w:hAnsi="Times New Roman" w:cs="Times New Roman"/>
          <w:sz w:val="20"/>
          <w:szCs w:val="20"/>
        </w:rPr>
        <w:t>Table 4 (b) Test of Isotonicity</w:t>
      </w:r>
      <w:r w:rsidR="002A1A2E">
        <w:rPr>
          <w:rFonts w:ascii="Times New Roman" w:hAnsi="Times New Roman" w:cs="Times New Roman"/>
          <w:sz w:val="20"/>
          <w:szCs w:val="20"/>
        </w:rPr>
        <w:t xml:space="preserve"> -</w:t>
      </w:r>
      <w:r w:rsidR="002A1A2E" w:rsidRPr="002A1A2E">
        <w:rPr>
          <w:rFonts w:ascii="Times New Roman" w:hAnsi="Times New Roman" w:cs="Times New Roman"/>
          <w:sz w:val="20"/>
          <w:szCs w:val="20"/>
        </w:rPr>
        <w:t xml:space="preserve"> </w:t>
      </w:r>
      <w:r w:rsidR="002A1A2E">
        <w:rPr>
          <w:rFonts w:ascii="Times New Roman" w:hAnsi="Times New Roman" w:cs="Times New Roman"/>
          <w:sz w:val="20"/>
          <w:szCs w:val="20"/>
        </w:rPr>
        <w:t>Social Efficiency</w:t>
      </w:r>
    </w:p>
    <w:p w:rsidR="00707A38" w:rsidRPr="00707A38" w:rsidRDefault="00707A38" w:rsidP="00707A38">
      <w:pPr>
        <w:spacing w:after="0" w:line="240" w:lineRule="auto"/>
        <w:jc w:val="both"/>
        <w:rPr>
          <w:rFonts w:ascii="Times New Roman" w:hAnsi="Times New Roman" w:cs="Times New Roman"/>
          <w:sz w:val="20"/>
          <w:szCs w:val="20"/>
        </w:rPr>
      </w:pPr>
    </w:p>
    <w:tbl>
      <w:tblPr>
        <w:tblW w:w="5626" w:type="dxa"/>
        <w:tblLook w:val="04A0" w:firstRow="1" w:lastRow="0" w:firstColumn="1" w:lastColumn="0" w:noHBand="0" w:noVBand="1"/>
      </w:tblPr>
      <w:tblGrid>
        <w:gridCol w:w="960"/>
        <w:gridCol w:w="1272"/>
        <w:gridCol w:w="1272"/>
        <w:gridCol w:w="1162"/>
        <w:gridCol w:w="960"/>
      </w:tblGrid>
      <w:tr w:rsidR="00707A38" w:rsidRPr="00707A38" w:rsidTr="00BC1F2B">
        <w:trPr>
          <w:trHeight w:val="300"/>
        </w:trPr>
        <w:tc>
          <w:tcPr>
            <w:tcW w:w="960" w:type="dxa"/>
            <w:tcBorders>
              <w:top w:val="single" w:sz="8" w:space="0" w:color="auto"/>
              <w:left w:val="nil"/>
              <w:bottom w:val="single" w:sz="4" w:space="0" w:color="auto"/>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i/>
                <w:iCs/>
                <w:sz w:val="20"/>
                <w:szCs w:val="20"/>
                <w:lang w:eastAsia="en-IN"/>
              </w:rPr>
            </w:pPr>
            <w:r w:rsidRPr="00707A38">
              <w:rPr>
                <w:rFonts w:ascii="Times New Roman" w:eastAsia="Times New Roman" w:hAnsi="Times New Roman" w:cs="Times New Roman"/>
                <w:i/>
                <w:iCs/>
                <w:sz w:val="20"/>
                <w:szCs w:val="20"/>
                <w:lang w:eastAsia="en-IN"/>
              </w:rPr>
              <w:t> </w:t>
            </w:r>
          </w:p>
        </w:tc>
        <w:tc>
          <w:tcPr>
            <w:tcW w:w="1272" w:type="dxa"/>
            <w:tcBorders>
              <w:top w:val="single" w:sz="8" w:space="0" w:color="auto"/>
              <w:left w:val="nil"/>
              <w:bottom w:val="single" w:sz="4" w:space="0" w:color="auto"/>
              <w:right w:val="nil"/>
            </w:tcBorders>
            <w:shd w:val="clear" w:color="auto" w:fill="auto"/>
            <w:noWrap/>
            <w:vAlign w:val="bottom"/>
            <w:hideMark/>
          </w:tcPr>
          <w:p w:rsidR="00707A38" w:rsidRPr="00707A38" w:rsidRDefault="001F10AC"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AB</w:t>
            </w:r>
          </w:p>
        </w:tc>
        <w:tc>
          <w:tcPr>
            <w:tcW w:w="1272" w:type="dxa"/>
            <w:tcBorders>
              <w:top w:val="single" w:sz="8" w:space="0" w:color="auto"/>
              <w:left w:val="nil"/>
              <w:bottom w:val="single" w:sz="4" w:space="0" w:color="auto"/>
              <w:right w:val="nil"/>
            </w:tcBorders>
            <w:shd w:val="clear" w:color="auto" w:fill="auto"/>
            <w:noWrap/>
            <w:vAlign w:val="bottom"/>
            <w:hideMark/>
          </w:tcPr>
          <w:p w:rsidR="00707A38" w:rsidRPr="00707A38" w:rsidRDefault="001F10AC"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TA</w:t>
            </w:r>
          </w:p>
        </w:tc>
        <w:tc>
          <w:tcPr>
            <w:tcW w:w="1162" w:type="dxa"/>
            <w:tcBorders>
              <w:top w:val="single" w:sz="8" w:space="0" w:color="auto"/>
              <w:left w:val="nil"/>
              <w:bottom w:val="single" w:sz="4" w:space="0" w:color="auto"/>
              <w:right w:val="nil"/>
            </w:tcBorders>
            <w:shd w:val="clear" w:color="auto" w:fill="auto"/>
            <w:noWrap/>
            <w:vAlign w:val="bottom"/>
            <w:hideMark/>
          </w:tcPr>
          <w:p w:rsidR="00707A38" w:rsidRPr="00707A38" w:rsidRDefault="001F10AC"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OE</w:t>
            </w:r>
          </w:p>
        </w:tc>
        <w:tc>
          <w:tcPr>
            <w:tcW w:w="960" w:type="dxa"/>
            <w:tcBorders>
              <w:top w:val="single" w:sz="8" w:space="0" w:color="auto"/>
              <w:left w:val="nil"/>
              <w:bottom w:val="single" w:sz="4" w:space="0" w:color="auto"/>
              <w:right w:val="nil"/>
            </w:tcBorders>
            <w:shd w:val="clear" w:color="auto" w:fill="auto"/>
            <w:noWrap/>
            <w:vAlign w:val="bottom"/>
            <w:hideMark/>
          </w:tcPr>
          <w:p w:rsidR="00707A38" w:rsidRPr="00707A38" w:rsidRDefault="001F10AC" w:rsidP="00707A38">
            <w:pPr>
              <w:spacing w:after="0" w:line="240" w:lineRule="auto"/>
              <w:jc w:val="both"/>
              <w:rPr>
                <w:rFonts w:ascii="Times New Roman" w:eastAsia="Times New Roman" w:hAnsi="Times New Roman" w:cs="Times New Roman"/>
                <w:i/>
                <w:iCs/>
                <w:sz w:val="20"/>
                <w:szCs w:val="20"/>
                <w:lang w:eastAsia="en-IN"/>
              </w:rPr>
            </w:pPr>
            <w:r>
              <w:rPr>
                <w:rFonts w:ascii="Times New Roman" w:eastAsia="Times New Roman" w:hAnsi="Times New Roman" w:cs="Times New Roman"/>
                <w:i/>
                <w:iCs/>
                <w:sz w:val="20"/>
                <w:szCs w:val="20"/>
                <w:lang w:eastAsia="en-IN"/>
              </w:rPr>
              <w:t>NOE</w:t>
            </w:r>
          </w:p>
        </w:tc>
      </w:tr>
      <w:tr w:rsidR="00707A38" w:rsidRPr="00707A38" w:rsidTr="00BC1F2B">
        <w:trPr>
          <w:trHeight w:val="300"/>
        </w:trPr>
        <w:tc>
          <w:tcPr>
            <w:tcW w:w="960"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AB</w:t>
            </w:r>
          </w:p>
        </w:tc>
        <w:tc>
          <w:tcPr>
            <w:tcW w:w="1272"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1272"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hAnsi="Times New Roman" w:cs="Times New Roman"/>
                <w:sz w:val="20"/>
                <w:szCs w:val="20"/>
              </w:rPr>
            </w:pPr>
          </w:p>
        </w:tc>
        <w:tc>
          <w:tcPr>
            <w:tcW w:w="1162"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hAnsi="Times New Roman" w:cs="Times New Roman"/>
                <w:sz w:val="20"/>
                <w:szCs w:val="20"/>
              </w:rPr>
            </w:pPr>
          </w:p>
        </w:tc>
      </w:tr>
      <w:tr w:rsidR="00707A38" w:rsidRPr="00707A38" w:rsidTr="00BC1F2B">
        <w:trPr>
          <w:trHeight w:val="300"/>
        </w:trPr>
        <w:tc>
          <w:tcPr>
            <w:tcW w:w="960"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TA</w:t>
            </w:r>
          </w:p>
        </w:tc>
        <w:tc>
          <w:tcPr>
            <w:tcW w:w="1272" w:type="dxa"/>
            <w:tcBorders>
              <w:top w:val="nil"/>
              <w:left w:val="nil"/>
              <w:bottom w:val="nil"/>
              <w:right w:val="nil"/>
            </w:tcBorders>
            <w:shd w:val="clear" w:color="auto" w:fill="auto"/>
            <w:noWrap/>
            <w:vAlign w:val="bottom"/>
            <w:hideMark/>
          </w:tcPr>
          <w:p w:rsidR="00707A38" w:rsidRPr="00707A38" w:rsidRDefault="00D20D76"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0.898</w:t>
            </w:r>
          </w:p>
        </w:tc>
        <w:tc>
          <w:tcPr>
            <w:tcW w:w="1272"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1162"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r>
      <w:tr w:rsidR="00707A38" w:rsidRPr="00707A38" w:rsidTr="00BC1F2B">
        <w:trPr>
          <w:trHeight w:val="300"/>
        </w:trPr>
        <w:tc>
          <w:tcPr>
            <w:tcW w:w="960" w:type="dxa"/>
            <w:tcBorders>
              <w:top w:val="nil"/>
              <w:left w:val="nil"/>
              <w:bottom w:val="nil"/>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OE</w:t>
            </w:r>
          </w:p>
        </w:tc>
        <w:tc>
          <w:tcPr>
            <w:tcW w:w="1272" w:type="dxa"/>
            <w:tcBorders>
              <w:top w:val="nil"/>
              <w:left w:val="nil"/>
              <w:bottom w:val="nil"/>
              <w:right w:val="nil"/>
            </w:tcBorders>
            <w:shd w:val="clear" w:color="auto" w:fill="auto"/>
            <w:noWrap/>
            <w:vAlign w:val="bottom"/>
            <w:hideMark/>
          </w:tcPr>
          <w:p w:rsidR="00707A38" w:rsidRPr="00707A38" w:rsidRDefault="00D20D76"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0.925</w:t>
            </w:r>
            <w:r w:rsidR="00707A38" w:rsidRPr="00707A38">
              <w:rPr>
                <w:rFonts w:ascii="Times New Roman" w:hAnsi="Times New Roman" w:cs="Times New Roman"/>
                <w:sz w:val="20"/>
                <w:szCs w:val="20"/>
              </w:rPr>
              <w:t>*</w:t>
            </w:r>
          </w:p>
        </w:tc>
        <w:tc>
          <w:tcPr>
            <w:tcW w:w="1272" w:type="dxa"/>
            <w:tcBorders>
              <w:top w:val="nil"/>
              <w:left w:val="nil"/>
              <w:bottom w:val="nil"/>
              <w:right w:val="nil"/>
            </w:tcBorders>
            <w:shd w:val="clear" w:color="auto" w:fill="auto"/>
            <w:noWrap/>
            <w:vAlign w:val="bottom"/>
            <w:hideMark/>
          </w:tcPr>
          <w:p w:rsidR="00707A38" w:rsidRPr="00707A38" w:rsidRDefault="00D20D76"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0.986</w:t>
            </w:r>
            <w:r w:rsidR="00707A38" w:rsidRPr="00707A38">
              <w:rPr>
                <w:rFonts w:ascii="Times New Roman" w:hAnsi="Times New Roman" w:cs="Times New Roman"/>
                <w:sz w:val="20"/>
                <w:szCs w:val="20"/>
              </w:rPr>
              <w:t>**</w:t>
            </w:r>
          </w:p>
        </w:tc>
        <w:tc>
          <w:tcPr>
            <w:tcW w:w="1162"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960" w:type="dxa"/>
            <w:tcBorders>
              <w:top w:val="nil"/>
              <w:left w:val="nil"/>
              <w:bottom w:val="nil"/>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p>
        </w:tc>
      </w:tr>
      <w:tr w:rsidR="00707A38" w:rsidRPr="00707A38" w:rsidTr="00BC1F2B">
        <w:trPr>
          <w:trHeight w:val="315"/>
        </w:trPr>
        <w:tc>
          <w:tcPr>
            <w:tcW w:w="960" w:type="dxa"/>
            <w:tcBorders>
              <w:top w:val="nil"/>
              <w:left w:val="nil"/>
              <w:bottom w:val="single" w:sz="8" w:space="0" w:color="auto"/>
              <w:right w:val="nil"/>
            </w:tcBorders>
            <w:shd w:val="clear" w:color="auto" w:fill="auto"/>
            <w:noWrap/>
            <w:vAlign w:val="bottom"/>
            <w:hideMark/>
          </w:tcPr>
          <w:p w:rsidR="00707A38" w:rsidRPr="00707A38" w:rsidRDefault="00707A38" w:rsidP="00707A38">
            <w:pPr>
              <w:spacing w:after="0" w:line="240" w:lineRule="auto"/>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NOE</w:t>
            </w:r>
          </w:p>
        </w:tc>
        <w:tc>
          <w:tcPr>
            <w:tcW w:w="1272" w:type="dxa"/>
            <w:tcBorders>
              <w:top w:val="nil"/>
              <w:left w:val="nil"/>
              <w:bottom w:val="single" w:sz="8" w:space="0" w:color="auto"/>
              <w:right w:val="nil"/>
            </w:tcBorders>
            <w:shd w:val="clear" w:color="auto" w:fill="auto"/>
            <w:noWrap/>
            <w:vAlign w:val="bottom"/>
            <w:hideMark/>
          </w:tcPr>
          <w:p w:rsidR="00707A38" w:rsidRPr="00707A38" w:rsidRDefault="00D20D76"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0.957</w:t>
            </w:r>
            <w:r w:rsidR="00707A38" w:rsidRPr="00707A38">
              <w:rPr>
                <w:rFonts w:ascii="Times New Roman" w:hAnsi="Times New Roman" w:cs="Times New Roman"/>
                <w:sz w:val="20"/>
                <w:szCs w:val="20"/>
              </w:rPr>
              <w:t>**</w:t>
            </w:r>
          </w:p>
        </w:tc>
        <w:tc>
          <w:tcPr>
            <w:tcW w:w="1272" w:type="dxa"/>
            <w:tcBorders>
              <w:top w:val="nil"/>
              <w:left w:val="nil"/>
              <w:bottom w:val="single" w:sz="8" w:space="0" w:color="auto"/>
              <w:right w:val="nil"/>
            </w:tcBorders>
            <w:shd w:val="clear" w:color="auto" w:fill="auto"/>
            <w:noWrap/>
            <w:vAlign w:val="bottom"/>
            <w:hideMark/>
          </w:tcPr>
          <w:p w:rsidR="00707A38" w:rsidRPr="00707A38" w:rsidRDefault="00D20D76"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0.925</w:t>
            </w:r>
            <w:r w:rsidR="00707A38" w:rsidRPr="00707A38">
              <w:rPr>
                <w:rFonts w:ascii="Times New Roman" w:hAnsi="Times New Roman" w:cs="Times New Roman"/>
                <w:sz w:val="20"/>
                <w:szCs w:val="20"/>
              </w:rPr>
              <w:t>*</w:t>
            </w:r>
          </w:p>
        </w:tc>
        <w:tc>
          <w:tcPr>
            <w:tcW w:w="1162" w:type="dxa"/>
            <w:tcBorders>
              <w:top w:val="nil"/>
              <w:left w:val="nil"/>
              <w:bottom w:val="single" w:sz="8" w:space="0" w:color="auto"/>
              <w:right w:val="nil"/>
            </w:tcBorders>
            <w:shd w:val="clear" w:color="auto" w:fill="auto"/>
            <w:noWrap/>
            <w:vAlign w:val="bottom"/>
            <w:hideMark/>
          </w:tcPr>
          <w:p w:rsidR="00707A38" w:rsidRPr="00707A38" w:rsidRDefault="00D20D76" w:rsidP="00707A38">
            <w:pPr>
              <w:spacing w:line="240" w:lineRule="auto"/>
              <w:jc w:val="both"/>
              <w:rPr>
                <w:rFonts w:ascii="Times New Roman" w:hAnsi="Times New Roman" w:cs="Times New Roman"/>
                <w:sz w:val="20"/>
                <w:szCs w:val="20"/>
              </w:rPr>
            </w:pPr>
            <w:r>
              <w:rPr>
                <w:rFonts w:ascii="Times New Roman" w:hAnsi="Times New Roman" w:cs="Times New Roman"/>
                <w:sz w:val="20"/>
                <w:szCs w:val="20"/>
              </w:rPr>
              <w:t>0.941</w:t>
            </w:r>
            <w:r w:rsidR="00707A38" w:rsidRPr="00707A38">
              <w:rPr>
                <w:rFonts w:ascii="Times New Roman" w:hAnsi="Times New Roman" w:cs="Times New Roman"/>
                <w:sz w:val="20"/>
                <w:szCs w:val="20"/>
              </w:rPr>
              <w:t>*</w:t>
            </w:r>
          </w:p>
        </w:tc>
        <w:tc>
          <w:tcPr>
            <w:tcW w:w="960" w:type="dxa"/>
            <w:tcBorders>
              <w:top w:val="nil"/>
              <w:left w:val="nil"/>
              <w:bottom w:val="single" w:sz="8" w:space="0" w:color="auto"/>
              <w:right w:val="nil"/>
            </w:tcBorders>
            <w:shd w:val="clear" w:color="auto" w:fill="auto"/>
            <w:noWrap/>
            <w:vAlign w:val="bottom"/>
            <w:hideMark/>
          </w:tcPr>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1</w:t>
            </w:r>
          </w:p>
        </w:tc>
      </w:tr>
    </w:tbl>
    <w:p w:rsidR="00053045" w:rsidRPr="00053045" w:rsidRDefault="00707A38" w:rsidP="00053045">
      <w:pPr>
        <w:spacing w:after="0"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Note: </w:t>
      </w:r>
      <w:r w:rsidR="00053045" w:rsidRPr="00053045">
        <w:rPr>
          <w:rFonts w:ascii="Times New Roman" w:hAnsi="Times New Roman" w:cs="Times New Roman"/>
          <w:sz w:val="20"/>
          <w:szCs w:val="20"/>
        </w:rPr>
        <w:t xml:space="preserve">Authors Calculation he matrix relationship is significant </w:t>
      </w:r>
    </w:p>
    <w:p w:rsidR="00053045" w:rsidRDefault="00053045" w:rsidP="00053045">
      <w:pPr>
        <w:spacing w:after="0" w:line="240" w:lineRule="auto"/>
        <w:jc w:val="both"/>
        <w:rPr>
          <w:rFonts w:ascii="Times New Roman" w:hAnsi="Times New Roman" w:cs="Times New Roman"/>
          <w:sz w:val="20"/>
          <w:szCs w:val="20"/>
        </w:rPr>
      </w:pPr>
      <w:r w:rsidRPr="00053045">
        <w:rPr>
          <w:rFonts w:ascii="Times New Roman" w:hAnsi="Times New Roman" w:cs="Times New Roman"/>
          <w:sz w:val="20"/>
          <w:szCs w:val="20"/>
        </w:rPr>
        <w:t>at the levels of ***1%, **5%, and *10%, respectively.</w:t>
      </w:r>
    </w:p>
    <w:p w:rsidR="002107CC" w:rsidRDefault="000F0CE0" w:rsidP="000530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Output  variable- AB, </w:t>
      </w:r>
    </w:p>
    <w:p w:rsidR="00707A38" w:rsidRPr="002107CC" w:rsidRDefault="000F0CE0" w:rsidP="002107CC">
      <w:pPr>
        <w:spacing w:after="0" w:line="240" w:lineRule="auto"/>
        <w:jc w:val="both"/>
        <w:rPr>
          <w:rFonts w:ascii="Times New Roman" w:hAnsi="Times New Roman" w:cs="Times New Roman"/>
          <w:sz w:val="20"/>
          <w:szCs w:val="20"/>
          <w:u w:val="single"/>
        </w:rPr>
      </w:pPr>
      <w:r w:rsidRPr="002107CC">
        <w:rPr>
          <w:rFonts w:ascii="Times New Roman" w:hAnsi="Times New Roman" w:cs="Times New Roman"/>
          <w:sz w:val="20"/>
          <w:szCs w:val="20"/>
          <w:u w:val="single"/>
        </w:rPr>
        <w:t>Input variables- TA, OE, NOE</w:t>
      </w:r>
      <w:r w:rsidR="002107CC">
        <w:rPr>
          <w:rFonts w:ascii="Times New Roman" w:hAnsi="Times New Roman" w:cs="Times New Roman"/>
          <w:sz w:val="20"/>
          <w:szCs w:val="20"/>
          <w:u w:val="single"/>
        </w:rPr>
        <w:tab/>
      </w:r>
      <w:r w:rsidR="002107CC">
        <w:rPr>
          <w:rFonts w:ascii="Times New Roman" w:hAnsi="Times New Roman" w:cs="Times New Roman"/>
          <w:sz w:val="20"/>
          <w:szCs w:val="20"/>
          <w:u w:val="single"/>
        </w:rPr>
        <w:tab/>
      </w:r>
      <w:r w:rsidR="002107CC">
        <w:rPr>
          <w:rFonts w:ascii="Times New Roman" w:hAnsi="Times New Roman" w:cs="Times New Roman"/>
          <w:sz w:val="20"/>
          <w:szCs w:val="20"/>
          <w:u w:val="single"/>
        </w:rPr>
        <w:tab/>
      </w:r>
      <w:r w:rsidR="002107CC">
        <w:rPr>
          <w:rFonts w:ascii="Times New Roman" w:hAnsi="Times New Roman" w:cs="Times New Roman"/>
          <w:sz w:val="20"/>
          <w:szCs w:val="20"/>
          <w:u w:val="single"/>
        </w:rPr>
        <w:tab/>
      </w:r>
      <w:r w:rsidR="002107CC">
        <w:rPr>
          <w:rFonts w:ascii="Times New Roman" w:hAnsi="Times New Roman" w:cs="Times New Roman"/>
          <w:sz w:val="20"/>
          <w:szCs w:val="20"/>
          <w:u w:val="single"/>
        </w:rPr>
        <w:tab/>
      </w:r>
    </w:p>
    <w:p w:rsidR="002107CC" w:rsidRPr="00707A38" w:rsidRDefault="002107CC" w:rsidP="002107CC">
      <w:pPr>
        <w:spacing w:after="0" w:line="240" w:lineRule="auto"/>
        <w:jc w:val="both"/>
        <w:rPr>
          <w:rFonts w:ascii="Times New Roman" w:hAnsi="Times New Roman" w:cs="Times New Roman"/>
          <w:sz w:val="20"/>
          <w:szCs w:val="20"/>
        </w:rPr>
      </w:pPr>
    </w:p>
    <w:p w:rsidR="00707A38" w:rsidRPr="00707A38" w:rsidRDefault="00707A38" w:rsidP="00707A38">
      <w:pPr>
        <w:spacing w:line="480" w:lineRule="auto"/>
        <w:jc w:val="both"/>
        <w:rPr>
          <w:rFonts w:ascii="Times New Roman" w:hAnsi="Times New Roman" w:cs="Times New Roman"/>
          <w:b/>
          <w:sz w:val="24"/>
          <w:szCs w:val="24"/>
        </w:rPr>
      </w:pPr>
      <w:r w:rsidRPr="00707A38">
        <w:rPr>
          <w:rFonts w:ascii="Times New Roman" w:hAnsi="Times New Roman" w:cs="Times New Roman"/>
          <w:b/>
          <w:sz w:val="24"/>
          <w:szCs w:val="24"/>
        </w:rPr>
        <w:t xml:space="preserve">4.2.3 </w:t>
      </w:r>
      <w:r w:rsidR="00097AB4">
        <w:rPr>
          <w:rFonts w:ascii="Times New Roman" w:hAnsi="Times New Roman" w:cs="Times New Roman"/>
          <w:b/>
          <w:sz w:val="24"/>
          <w:szCs w:val="24"/>
        </w:rPr>
        <w:t>Estimation of Efficiency</w:t>
      </w:r>
    </w:p>
    <w:p w:rsidR="00B94856" w:rsidRDefault="00AF5DCA"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DEAP 2.1 is used to measure technical efficiency</w:t>
      </w:r>
      <w:r w:rsidR="000D312F">
        <w:rPr>
          <w:rFonts w:ascii="Times New Roman" w:hAnsi="Times New Roman" w:cs="Times New Roman"/>
          <w:sz w:val="24"/>
          <w:szCs w:val="24"/>
        </w:rPr>
        <w:t xml:space="preserve"> </w:t>
      </w:r>
      <w:r>
        <w:rPr>
          <w:rFonts w:ascii="Times New Roman" w:hAnsi="Times New Roman" w:cs="Times New Roman"/>
          <w:sz w:val="24"/>
          <w:szCs w:val="24"/>
        </w:rPr>
        <w:t>for the fi</w:t>
      </w:r>
      <w:r w:rsidR="006F2BC6">
        <w:rPr>
          <w:rFonts w:ascii="Times New Roman" w:hAnsi="Times New Roman" w:cs="Times New Roman"/>
          <w:sz w:val="24"/>
          <w:szCs w:val="24"/>
        </w:rPr>
        <w:t>rm's financial and social efficiency models</w:t>
      </w:r>
      <w:r>
        <w:rPr>
          <w:rFonts w:ascii="Times New Roman" w:hAnsi="Times New Roman" w:cs="Times New Roman"/>
          <w:sz w:val="24"/>
          <w:szCs w:val="24"/>
        </w:rPr>
        <w:t xml:space="preserve">. </w:t>
      </w:r>
      <w:r w:rsidR="00E05964">
        <w:rPr>
          <w:rFonts w:ascii="Times New Roman" w:hAnsi="Times New Roman" w:cs="Times New Roman"/>
          <w:sz w:val="24"/>
          <w:szCs w:val="24"/>
        </w:rPr>
        <w:t>T</w:t>
      </w:r>
      <w:r w:rsidR="00B94856">
        <w:rPr>
          <w:rFonts w:ascii="Times New Roman" w:hAnsi="Times New Roman" w:cs="Times New Roman"/>
          <w:sz w:val="24"/>
          <w:szCs w:val="24"/>
        </w:rPr>
        <w:t>he CCR</w:t>
      </w:r>
      <w:r>
        <w:rPr>
          <w:rFonts w:ascii="Times New Roman" w:hAnsi="Times New Roman" w:cs="Times New Roman"/>
          <w:sz w:val="24"/>
          <w:szCs w:val="24"/>
        </w:rPr>
        <w:t xml:space="preserve"> model and the output-oriented model</w:t>
      </w:r>
      <w:r w:rsidR="00E05964">
        <w:rPr>
          <w:rFonts w:ascii="Times New Roman" w:hAnsi="Times New Roman" w:cs="Times New Roman"/>
          <w:sz w:val="24"/>
          <w:szCs w:val="24"/>
        </w:rPr>
        <w:t xml:space="preserve"> estimates are reported in </w:t>
      </w:r>
      <w:r w:rsidR="006F2BC6">
        <w:rPr>
          <w:rFonts w:ascii="Times New Roman" w:hAnsi="Times New Roman" w:cs="Times New Roman"/>
          <w:sz w:val="24"/>
          <w:szCs w:val="24"/>
        </w:rPr>
        <w:t>T</w:t>
      </w:r>
      <w:r w:rsidR="00E05964">
        <w:rPr>
          <w:rFonts w:ascii="Times New Roman" w:hAnsi="Times New Roman" w:cs="Times New Roman"/>
          <w:sz w:val="24"/>
          <w:szCs w:val="24"/>
        </w:rPr>
        <w:t>able 5</w:t>
      </w:r>
      <w:r>
        <w:rPr>
          <w:rFonts w:ascii="Times New Roman" w:hAnsi="Times New Roman" w:cs="Times New Roman"/>
          <w:sz w:val="24"/>
          <w:szCs w:val="24"/>
        </w:rPr>
        <w:t xml:space="preserve">. </w:t>
      </w:r>
      <w:r w:rsidR="00B94856">
        <w:rPr>
          <w:rFonts w:ascii="Times New Roman" w:hAnsi="Times New Roman" w:cs="Times New Roman"/>
          <w:sz w:val="24"/>
          <w:szCs w:val="24"/>
        </w:rPr>
        <w:t xml:space="preserve">2015 to 2016 explain the average VD scores and average technical efficiency of both models. An improvement is observed in the VD scores </w:t>
      </w:r>
      <w:r w:rsidR="00735A46">
        <w:rPr>
          <w:rFonts w:ascii="Times New Roman" w:hAnsi="Times New Roman" w:cs="Times New Roman"/>
          <w:sz w:val="24"/>
          <w:szCs w:val="24"/>
        </w:rPr>
        <w:t xml:space="preserve">average VD scores, and an increase in the standard deviation is also observed. </w:t>
      </w:r>
    </w:p>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Table 5 </w:t>
      </w:r>
      <w:r w:rsidR="00AB65BB">
        <w:rPr>
          <w:rFonts w:ascii="Times New Roman" w:hAnsi="Times New Roman" w:cs="Times New Roman"/>
          <w:sz w:val="20"/>
          <w:szCs w:val="20"/>
        </w:rPr>
        <w:t xml:space="preserve">Technical efficiency and </w:t>
      </w:r>
      <w:r w:rsidR="005179D7" w:rsidRPr="005179D7">
        <w:rPr>
          <w:rFonts w:ascii="Times New Roman" w:hAnsi="Times New Roman" w:cs="Times New Roman"/>
          <w:sz w:val="20"/>
          <w:szCs w:val="20"/>
        </w:rPr>
        <w:t xml:space="preserve">VD score </w:t>
      </w:r>
    </w:p>
    <w:tbl>
      <w:tblPr>
        <w:tblStyle w:val="TableGrid2"/>
        <w:tblW w:w="91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012"/>
        <w:gridCol w:w="1149"/>
        <w:gridCol w:w="1548"/>
        <w:gridCol w:w="1419"/>
        <w:gridCol w:w="1056"/>
        <w:gridCol w:w="1306"/>
      </w:tblGrid>
      <w:tr w:rsidR="001D5002" w:rsidRPr="00707A38" w:rsidTr="00D94B91">
        <w:trPr>
          <w:trHeight w:val="229"/>
        </w:trPr>
        <w:tc>
          <w:tcPr>
            <w:tcW w:w="675"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Year </w:t>
            </w:r>
          </w:p>
        </w:tc>
        <w:tc>
          <w:tcPr>
            <w:tcW w:w="2012" w:type="dxa"/>
            <w:noWrap/>
            <w:hideMark/>
          </w:tcPr>
          <w:p w:rsidR="001D5002" w:rsidRPr="00707A38" w:rsidRDefault="001D5002" w:rsidP="005179D7">
            <w:pPr>
              <w:jc w:val="both"/>
              <w:rPr>
                <w:rFonts w:ascii="Times New Roman" w:hAnsi="Times New Roman" w:cs="Times New Roman"/>
                <w:sz w:val="20"/>
                <w:szCs w:val="20"/>
              </w:rPr>
            </w:pPr>
            <w:r>
              <w:rPr>
                <w:rFonts w:ascii="Times New Roman" w:hAnsi="Times New Roman" w:cs="Times New Roman"/>
                <w:sz w:val="20"/>
                <w:szCs w:val="20"/>
              </w:rPr>
              <w:t>Firm with score 1 Model-</w:t>
            </w:r>
            <w:r w:rsidRPr="00707A38">
              <w:rPr>
                <w:rFonts w:ascii="Times New Roman" w:hAnsi="Times New Roman" w:cs="Times New Roman"/>
                <w:sz w:val="20"/>
                <w:szCs w:val="20"/>
              </w:rPr>
              <w:t>F</w:t>
            </w:r>
            <w:r>
              <w:rPr>
                <w:rFonts w:ascii="Times New Roman" w:hAnsi="Times New Roman" w:cs="Times New Roman"/>
                <w:sz w:val="20"/>
                <w:szCs w:val="20"/>
              </w:rPr>
              <w:t>E</w:t>
            </w:r>
            <w:r w:rsidRPr="00707A38">
              <w:rPr>
                <w:rFonts w:ascii="Times New Roman" w:hAnsi="Times New Roman" w:cs="Times New Roman"/>
                <w:sz w:val="20"/>
                <w:szCs w:val="20"/>
              </w:rPr>
              <w:t xml:space="preserve"> </w:t>
            </w:r>
          </w:p>
        </w:tc>
        <w:tc>
          <w:tcPr>
            <w:tcW w:w="1149" w:type="dxa"/>
          </w:tcPr>
          <w:p w:rsidR="001D5002" w:rsidRPr="00707A38" w:rsidRDefault="001D5002" w:rsidP="00CE0C43">
            <w:pPr>
              <w:jc w:val="both"/>
              <w:rPr>
                <w:rFonts w:ascii="Times New Roman" w:hAnsi="Times New Roman" w:cs="Times New Roman"/>
                <w:sz w:val="20"/>
                <w:szCs w:val="20"/>
              </w:rPr>
            </w:pPr>
            <w:r w:rsidRPr="00707A38">
              <w:rPr>
                <w:rFonts w:ascii="Times New Roman" w:hAnsi="Times New Roman" w:cs="Times New Roman"/>
                <w:sz w:val="20"/>
                <w:szCs w:val="20"/>
              </w:rPr>
              <w:t>Mean CRSTE- F</w:t>
            </w:r>
            <w:r>
              <w:rPr>
                <w:rFonts w:ascii="Times New Roman" w:hAnsi="Times New Roman" w:cs="Times New Roman"/>
                <w:sz w:val="20"/>
                <w:szCs w:val="20"/>
              </w:rPr>
              <w:t>E</w:t>
            </w:r>
            <w:r w:rsidRPr="00707A38">
              <w:rPr>
                <w:rFonts w:ascii="Times New Roman" w:hAnsi="Times New Roman" w:cs="Times New Roman"/>
                <w:sz w:val="20"/>
                <w:szCs w:val="20"/>
              </w:rPr>
              <w:t xml:space="preserve"> Model</w:t>
            </w:r>
          </w:p>
        </w:tc>
        <w:tc>
          <w:tcPr>
            <w:tcW w:w="1548" w:type="dxa"/>
            <w:noWrap/>
            <w:hideMark/>
          </w:tcPr>
          <w:p w:rsidR="001D5002" w:rsidRPr="00707A38" w:rsidRDefault="001D5002" w:rsidP="00CE0C43">
            <w:pPr>
              <w:jc w:val="both"/>
              <w:rPr>
                <w:rFonts w:ascii="Times New Roman" w:hAnsi="Times New Roman" w:cs="Times New Roman"/>
                <w:sz w:val="20"/>
                <w:szCs w:val="20"/>
              </w:rPr>
            </w:pPr>
            <w:r>
              <w:rPr>
                <w:rFonts w:ascii="Times New Roman" w:hAnsi="Times New Roman" w:cs="Times New Roman"/>
                <w:sz w:val="20"/>
                <w:szCs w:val="20"/>
              </w:rPr>
              <w:t xml:space="preserve">Firm with score </w:t>
            </w:r>
            <w:r w:rsidRPr="00707A38">
              <w:rPr>
                <w:rFonts w:ascii="Times New Roman" w:hAnsi="Times New Roman" w:cs="Times New Roman"/>
                <w:sz w:val="20"/>
                <w:szCs w:val="20"/>
              </w:rPr>
              <w:t>1  (</w:t>
            </w:r>
            <w:r>
              <w:rPr>
                <w:rFonts w:ascii="Times New Roman" w:hAnsi="Times New Roman" w:cs="Times New Roman"/>
                <w:sz w:val="20"/>
                <w:szCs w:val="20"/>
              </w:rPr>
              <w:t xml:space="preserve"> Model- </w:t>
            </w:r>
            <w:r w:rsidRPr="00707A38">
              <w:rPr>
                <w:rFonts w:ascii="Times New Roman" w:hAnsi="Times New Roman" w:cs="Times New Roman"/>
                <w:sz w:val="20"/>
                <w:szCs w:val="20"/>
              </w:rPr>
              <w:t>S</w:t>
            </w:r>
            <w:r>
              <w:rPr>
                <w:rFonts w:ascii="Times New Roman" w:hAnsi="Times New Roman" w:cs="Times New Roman"/>
                <w:sz w:val="20"/>
                <w:szCs w:val="20"/>
              </w:rPr>
              <w:t>E</w:t>
            </w:r>
            <w:r w:rsidRPr="00707A38">
              <w:rPr>
                <w:rFonts w:ascii="Times New Roman" w:hAnsi="Times New Roman" w:cs="Times New Roman"/>
                <w:sz w:val="20"/>
                <w:szCs w:val="20"/>
              </w:rPr>
              <w:t>)</w:t>
            </w:r>
          </w:p>
        </w:tc>
        <w:tc>
          <w:tcPr>
            <w:tcW w:w="1419" w:type="dxa"/>
          </w:tcPr>
          <w:p w:rsidR="001D5002" w:rsidRPr="00707A38" w:rsidRDefault="001D5002" w:rsidP="00CE0C43">
            <w:pPr>
              <w:jc w:val="both"/>
              <w:rPr>
                <w:rFonts w:ascii="Times New Roman" w:hAnsi="Times New Roman" w:cs="Times New Roman"/>
                <w:sz w:val="20"/>
                <w:szCs w:val="20"/>
              </w:rPr>
            </w:pPr>
            <w:r w:rsidRPr="00707A38">
              <w:rPr>
                <w:rFonts w:ascii="Times New Roman" w:hAnsi="Times New Roman" w:cs="Times New Roman"/>
                <w:sz w:val="20"/>
                <w:szCs w:val="20"/>
              </w:rPr>
              <w:t>Mean CRSTE –S</w:t>
            </w:r>
            <w:r>
              <w:rPr>
                <w:rFonts w:ascii="Times New Roman" w:hAnsi="Times New Roman" w:cs="Times New Roman"/>
                <w:sz w:val="20"/>
                <w:szCs w:val="20"/>
              </w:rPr>
              <w:t>E</w:t>
            </w:r>
            <w:r w:rsidRPr="00707A38">
              <w:rPr>
                <w:rFonts w:ascii="Times New Roman" w:hAnsi="Times New Roman" w:cs="Times New Roman"/>
                <w:sz w:val="20"/>
                <w:szCs w:val="20"/>
              </w:rPr>
              <w:t xml:space="preserve"> Model</w:t>
            </w:r>
          </w:p>
        </w:tc>
        <w:tc>
          <w:tcPr>
            <w:tcW w:w="1056" w:type="dxa"/>
          </w:tcPr>
          <w:p w:rsidR="001D5002" w:rsidRPr="00707A38" w:rsidRDefault="001D5002" w:rsidP="00CE0C43">
            <w:pPr>
              <w:jc w:val="both"/>
              <w:rPr>
                <w:rFonts w:ascii="Times New Roman" w:hAnsi="Times New Roman" w:cs="Times New Roman"/>
                <w:sz w:val="20"/>
                <w:szCs w:val="20"/>
              </w:rPr>
            </w:pPr>
            <w:r w:rsidRPr="00707A38">
              <w:rPr>
                <w:rFonts w:ascii="Times New Roman" w:hAnsi="Times New Roman" w:cs="Times New Roman"/>
                <w:sz w:val="20"/>
                <w:szCs w:val="20"/>
              </w:rPr>
              <w:t>Mean V</w:t>
            </w:r>
            <w:r>
              <w:rPr>
                <w:rFonts w:ascii="Times New Roman" w:hAnsi="Times New Roman" w:cs="Times New Roman"/>
                <w:sz w:val="20"/>
                <w:szCs w:val="20"/>
              </w:rPr>
              <w:t>D.</w:t>
            </w:r>
            <w:r w:rsidRPr="00707A38">
              <w:rPr>
                <w:rFonts w:ascii="Times New Roman" w:hAnsi="Times New Roman" w:cs="Times New Roman"/>
                <w:sz w:val="20"/>
                <w:szCs w:val="20"/>
              </w:rPr>
              <w:t xml:space="preserve"> Score</w:t>
            </w:r>
          </w:p>
        </w:tc>
        <w:tc>
          <w:tcPr>
            <w:tcW w:w="1306" w:type="dxa"/>
          </w:tcPr>
          <w:p w:rsidR="001D5002" w:rsidRPr="00707A38" w:rsidRDefault="001D5002" w:rsidP="00CE0C43">
            <w:pPr>
              <w:jc w:val="both"/>
              <w:rPr>
                <w:rFonts w:ascii="Times New Roman" w:hAnsi="Times New Roman" w:cs="Times New Roman"/>
                <w:sz w:val="20"/>
                <w:szCs w:val="20"/>
              </w:rPr>
            </w:pPr>
            <w:r w:rsidRPr="00707A38">
              <w:rPr>
                <w:rFonts w:ascii="Times New Roman" w:hAnsi="Times New Roman" w:cs="Times New Roman"/>
                <w:sz w:val="20"/>
                <w:szCs w:val="20"/>
              </w:rPr>
              <w:t>STD of V</w:t>
            </w:r>
            <w:r>
              <w:rPr>
                <w:rFonts w:ascii="Times New Roman" w:hAnsi="Times New Roman" w:cs="Times New Roman"/>
                <w:sz w:val="20"/>
                <w:szCs w:val="20"/>
              </w:rPr>
              <w:t>D.</w:t>
            </w:r>
            <w:r w:rsidRPr="00707A38">
              <w:rPr>
                <w:rFonts w:ascii="Times New Roman" w:hAnsi="Times New Roman" w:cs="Times New Roman"/>
                <w:sz w:val="20"/>
                <w:szCs w:val="20"/>
              </w:rPr>
              <w:t xml:space="preserve"> Score</w:t>
            </w:r>
          </w:p>
        </w:tc>
      </w:tr>
      <w:tr w:rsidR="001D5002" w:rsidRPr="00707A38" w:rsidTr="00D94B91">
        <w:trPr>
          <w:trHeight w:val="229"/>
        </w:trPr>
        <w:tc>
          <w:tcPr>
            <w:tcW w:w="675" w:type="dxa"/>
            <w:noWrap/>
            <w:hideMark/>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1</w:t>
            </w:r>
          </w:p>
        </w:tc>
        <w:tc>
          <w:tcPr>
            <w:tcW w:w="2012"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9</w:t>
            </w:r>
          </w:p>
        </w:tc>
        <w:tc>
          <w:tcPr>
            <w:tcW w:w="114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.894</w:t>
            </w:r>
          </w:p>
        </w:tc>
        <w:tc>
          <w:tcPr>
            <w:tcW w:w="1548"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3</w:t>
            </w:r>
          </w:p>
        </w:tc>
        <w:tc>
          <w:tcPr>
            <w:tcW w:w="1419"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.548</w:t>
            </w:r>
          </w:p>
        </w:tc>
        <w:tc>
          <w:tcPr>
            <w:tcW w:w="105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26.9</w:t>
            </w:r>
          </w:p>
        </w:tc>
        <w:tc>
          <w:tcPr>
            <w:tcW w:w="130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9.1</w:t>
            </w:r>
          </w:p>
        </w:tc>
      </w:tr>
      <w:tr w:rsidR="001D5002" w:rsidRPr="00707A38" w:rsidTr="00D94B91">
        <w:trPr>
          <w:trHeight w:val="229"/>
        </w:trPr>
        <w:tc>
          <w:tcPr>
            <w:tcW w:w="675" w:type="dxa"/>
            <w:noWrap/>
            <w:hideMark/>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2</w:t>
            </w:r>
          </w:p>
        </w:tc>
        <w:tc>
          <w:tcPr>
            <w:tcW w:w="2012"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6</w:t>
            </w:r>
          </w:p>
        </w:tc>
        <w:tc>
          <w:tcPr>
            <w:tcW w:w="114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.894</w:t>
            </w:r>
          </w:p>
        </w:tc>
        <w:tc>
          <w:tcPr>
            <w:tcW w:w="1548"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141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.069</w:t>
            </w:r>
          </w:p>
        </w:tc>
        <w:tc>
          <w:tcPr>
            <w:tcW w:w="1056"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33.2</w:t>
            </w:r>
          </w:p>
        </w:tc>
        <w:tc>
          <w:tcPr>
            <w:tcW w:w="1306"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12.4</w:t>
            </w:r>
          </w:p>
        </w:tc>
      </w:tr>
      <w:tr w:rsidR="001D5002" w:rsidRPr="00707A38" w:rsidTr="00D94B91">
        <w:trPr>
          <w:trHeight w:val="229"/>
        </w:trPr>
        <w:tc>
          <w:tcPr>
            <w:tcW w:w="675" w:type="dxa"/>
            <w:noWrap/>
            <w:hideMark/>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3</w:t>
            </w:r>
          </w:p>
        </w:tc>
        <w:tc>
          <w:tcPr>
            <w:tcW w:w="2012"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5</w:t>
            </w:r>
          </w:p>
        </w:tc>
        <w:tc>
          <w:tcPr>
            <w:tcW w:w="114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.861</w:t>
            </w:r>
          </w:p>
        </w:tc>
        <w:tc>
          <w:tcPr>
            <w:tcW w:w="1548"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2</w:t>
            </w:r>
          </w:p>
        </w:tc>
        <w:tc>
          <w:tcPr>
            <w:tcW w:w="141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.371</w:t>
            </w:r>
          </w:p>
        </w:tc>
        <w:tc>
          <w:tcPr>
            <w:tcW w:w="105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36.0</w:t>
            </w:r>
          </w:p>
        </w:tc>
        <w:tc>
          <w:tcPr>
            <w:tcW w:w="130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12.2</w:t>
            </w:r>
          </w:p>
        </w:tc>
      </w:tr>
      <w:tr w:rsidR="001D5002" w:rsidRPr="00707A38" w:rsidTr="00D94B91">
        <w:trPr>
          <w:trHeight w:val="229"/>
        </w:trPr>
        <w:tc>
          <w:tcPr>
            <w:tcW w:w="675" w:type="dxa"/>
            <w:noWrap/>
            <w:hideMark/>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4</w:t>
            </w:r>
          </w:p>
        </w:tc>
        <w:tc>
          <w:tcPr>
            <w:tcW w:w="2012"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7</w:t>
            </w:r>
          </w:p>
        </w:tc>
        <w:tc>
          <w:tcPr>
            <w:tcW w:w="114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.893</w:t>
            </w:r>
          </w:p>
        </w:tc>
        <w:tc>
          <w:tcPr>
            <w:tcW w:w="1548"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141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.508</w:t>
            </w:r>
          </w:p>
        </w:tc>
        <w:tc>
          <w:tcPr>
            <w:tcW w:w="105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36.1</w:t>
            </w:r>
          </w:p>
        </w:tc>
        <w:tc>
          <w:tcPr>
            <w:tcW w:w="130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12.0</w:t>
            </w:r>
          </w:p>
        </w:tc>
      </w:tr>
      <w:tr w:rsidR="001D5002" w:rsidRPr="00707A38" w:rsidTr="00D94B91">
        <w:trPr>
          <w:trHeight w:val="229"/>
        </w:trPr>
        <w:tc>
          <w:tcPr>
            <w:tcW w:w="675" w:type="dxa"/>
            <w:noWrap/>
            <w:hideMark/>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5</w:t>
            </w:r>
          </w:p>
        </w:tc>
        <w:tc>
          <w:tcPr>
            <w:tcW w:w="2012"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6</w:t>
            </w:r>
          </w:p>
        </w:tc>
        <w:tc>
          <w:tcPr>
            <w:tcW w:w="114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.899</w:t>
            </w:r>
          </w:p>
        </w:tc>
        <w:tc>
          <w:tcPr>
            <w:tcW w:w="1548" w:type="dxa"/>
            <w:noWrap/>
            <w:hideMark/>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1</w:t>
            </w:r>
          </w:p>
        </w:tc>
        <w:tc>
          <w:tcPr>
            <w:tcW w:w="1419" w:type="dxa"/>
          </w:tcPr>
          <w:p w:rsidR="001D5002" w:rsidRPr="00707A38" w:rsidRDefault="001D5002" w:rsidP="00707A38">
            <w:pPr>
              <w:jc w:val="both"/>
              <w:rPr>
                <w:rFonts w:ascii="Times New Roman" w:hAnsi="Times New Roman" w:cs="Times New Roman"/>
                <w:sz w:val="20"/>
                <w:szCs w:val="20"/>
              </w:rPr>
            </w:pPr>
            <w:r w:rsidRPr="00707A38">
              <w:rPr>
                <w:rFonts w:ascii="Times New Roman" w:hAnsi="Times New Roman" w:cs="Times New Roman"/>
                <w:sz w:val="20"/>
                <w:szCs w:val="20"/>
              </w:rPr>
              <w:t>.614</w:t>
            </w:r>
          </w:p>
        </w:tc>
        <w:tc>
          <w:tcPr>
            <w:tcW w:w="105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42.5</w:t>
            </w:r>
          </w:p>
        </w:tc>
        <w:tc>
          <w:tcPr>
            <w:tcW w:w="1306" w:type="dxa"/>
          </w:tcPr>
          <w:p w:rsidR="001D5002" w:rsidRPr="00707A38" w:rsidRDefault="001D5002" w:rsidP="00707A38">
            <w:pPr>
              <w:jc w:val="both"/>
              <w:rPr>
                <w:rFonts w:ascii="Times New Roman" w:hAnsi="Times New Roman" w:cs="Times New Roman"/>
                <w:sz w:val="20"/>
                <w:szCs w:val="20"/>
              </w:rPr>
            </w:pPr>
            <w:r>
              <w:rPr>
                <w:rFonts w:ascii="Times New Roman" w:hAnsi="Times New Roman" w:cs="Times New Roman"/>
                <w:sz w:val="20"/>
                <w:szCs w:val="20"/>
              </w:rPr>
              <w:t>13.8</w:t>
            </w:r>
          </w:p>
        </w:tc>
      </w:tr>
    </w:tbl>
    <w:p w:rsidR="00707A38" w:rsidRPr="00707A38" w:rsidRDefault="00707A38" w:rsidP="003B377C">
      <w:pPr>
        <w:pBdr>
          <w:bottom w:val="single" w:sz="4" w:space="1" w:color="auto"/>
        </w:pBd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Note Authors Calculation DEAP 2.1.</w:t>
      </w:r>
      <w:r w:rsidR="006F2BC6">
        <w:rPr>
          <w:rFonts w:ascii="Times New Roman" w:hAnsi="Times New Roman" w:cs="Times New Roman"/>
          <w:sz w:val="20"/>
          <w:szCs w:val="20"/>
        </w:rPr>
        <w:t xml:space="preserve"> </w:t>
      </w:r>
      <w:r w:rsidR="001936A8">
        <w:rPr>
          <w:rFonts w:ascii="Times New Roman" w:hAnsi="Times New Roman" w:cs="Times New Roman"/>
          <w:sz w:val="20"/>
          <w:szCs w:val="20"/>
        </w:rPr>
        <w:t>Year ranges from 1 (2015) to  (2019).</w:t>
      </w:r>
      <w:r w:rsidR="001D5002">
        <w:rPr>
          <w:rFonts w:ascii="Times New Roman" w:hAnsi="Times New Roman" w:cs="Times New Roman"/>
          <w:sz w:val="20"/>
          <w:szCs w:val="20"/>
        </w:rPr>
        <w:t xml:space="preserve"> </w:t>
      </w:r>
      <w:r w:rsidR="006F2BC6">
        <w:rPr>
          <w:rFonts w:ascii="Times New Roman" w:hAnsi="Times New Roman" w:cs="Times New Roman"/>
          <w:sz w:val="20"/>
          <w:szCs w:val="20"/>
        </w:rPr>
        <w:t>The t</w:t>
      </w:r>
      <w:r w:rsidR="001D5002">
        <w:rPr>
          <w:rFonts w:ascii="Times New Roman" w:hAnsi="Times New Roman" w:cs="Times New Roman"/>
          <w:sz w:val="20"/>
          <w:szCs w:val="20"/>
        </w:rPr>
        <w:t xml:space="preserve">otal number of firms are 25. </w:t>
      </w:r>
      <w:r w:rsidR="00D94B91" w:rsidRPr="00707A38">
        <w:rPr>
          <w:rFonts w:ascii="Times New Roman" w:hAnsi="Times New Roman" w:cs="Times New Roman"/>
          <w:sz w:val="20"/>
          <w:szCs w:val="20"/>
        </w:rPr>
        <w:t>STD is the standard deviation of the voluntary disclosure scores</w:t>
      </w:r>
    </w:p>
    <w:p w:rsidR="00010C86" w:rsidRDefault="00BE2809"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benchmarked firms have </w:t>
      </w:r>
      <w:r w:rsidR="000D312F">
        <w:rPr>
          <w:rFonts w:ascii="Times New Roman" w:hAnsi="Times New Roman" w:cs="Times New Roman"/>
          <w:sz w:val="24"/>
          <w:szCs w:val="24"/>
        </w:rPr>
        <w:t>a</w:t>
      </w:r>
      <w:r>
        <w:rPr>
          <w:rFonts w:ascii="Times New Roman" w:hAnsi="Times New Roman" w:cs="Times New Roman"/>
          <w:sz w:val="24"/>
          <w:szCs w:val="24"/>
        </w:rPr>
        <w:t xml:space="preserve"> </w:t>
      </w:r>
      <w:r w:rsidR="00010C86">
        <w:rPr>
          <w:rFonts w:ascii="Times New Roman" w:hAnsi="Times New Roman" w:cs="Times New Roman"/>
          <w:sz w:val="24"/>
          <w:szCs w:val="24"/>
        </w:rPr>
        <w:t>CRS</w:t>
      </w:r>
      <w:r w:rsidR="000D312F">
        <w:rPr>
          <w:rFonts w:ascii="Times New Roman" w:hAnsi="Times New Roman" w:cs="Times New Roman"/>
          <w:sz w:val="24"/>
          <w:szCs w:val="24"/>
        </w:rPr>
        <w:t>TE</w:t>
      </w:r>
      <w:r>
        <w:rPr>
          <w:rFonts w:ascii="Times New Roman" w:hAnsi="Times New Roman" w:cs="Times New Roman"/>
          <w:sz w:val="24"/>
          <w:szCs w:val="24"/>
        </w:rPr>
        <w:t xml:space="preserve"> score of one. The </w:t>
      </w:r>
      <w:r w:rsidR="000D312F">
        <w:rPr>
          <w:rFonts w:ascii="Times New Roman" w:hAnsi="Times New Roman" w:cs="Times New Roman"/>
          <w:sz w:val="24"/>
          <w:szCs w:val="24"/>
        </w:rPr>
        <w:t xml:space="preserve">number of firms with </w:t>
      </w:r>
      <w:r>
        <w:rPr>
          <w:rFonts w:ascii="Times New Roman" w:hAnsi="Times New Roman" w:cs="Times New Roman"/>
          <w:sz w:val="24"/>
          <w:szCs w:val="24"/>
        </w:rPr>
        <w:t xml:space="preserve">means </w:t>
      </w:r>
      <w:r w:rsidR="00010C86">
        <w:rPr>
          <w:rFonts w:ascii="Times New Roman" w:hAnsi="Times New Roman" w:cs="Times New Roman"/>
          <w:sz w:val="24"/>
          <w:szCs w:val="24"/>
        </w:rPr>
        <w:t>CRS</w:t>
      </w:r>
      <w:r w:rsidR="000D312F">
        <w:rPr>
          <w:rFonts w:ascii="Times New Roman" w:hAnsi="Times New Roman" w:cs="Times New Roman"/>
          <w:sz w:val="24"/>
          <w:szCs w:val="24"/>
        </w:rPr>
        <w:t>TE</w:t>
      </w:r>
      <w:r w:rsidR="009F330D">
        <w:rPr>
          <w:rFonts w:ascii="Times New Roman" w:hAnsi="Times New Roman" w:cs="Times New Roman"/>
          <w:sz w:val="24"/>
          <w:szCs w:val="24"/>
        </w:rPr>
        <w:t xml:space="preserve"> with</w:t>
      </w:r>
      <w:r>
        <w:rPr>
          <w:rFonts w:ascii="Times New Roman" w:hAnsi="Times New Roman" w:cs="Times New Roman"/>
          <w:sz w:val="24"/>
          <w:szCs w:val="24"/>
        </w:rPr>
        <w:t xml:space="preserve"> the </w:t>
      </w:r>
      <w:r w:rsidR="000D312F">
        <w:rPr>
          <w:rFonts w:ascii="Times New Roman" w:hAnsi="Times New Roman" w:cs="Times New Roman"/>
          <w:sz w:val="24"/>
          <w:szCs w:val="24"/>
        </w:rPr>
        <w:t xml:space="preserve">perfect one </w:t>
      </w:r>
      <w:r w:rsidR="009F330D">
        <w:rPr>
          <w:rFonts w:ascii="Times New Roman" w:hAnsi="Times New Roman" w:cs="Times New Roman"/>
          <w:sz w:val="24"/>
          <w:szCs w:val="24"/>
        </w:rPr>
        <w:t xml:space="preserve">in </w:t>
      </w:r>
      <w:r w:rsidR="006F2BC6">
        <w:rPr>
          <w:rFonts w:ascii="Times New Roman" w:hAnsi="Times New Roman" w:cs="Times New Roman"/>
          <w:sz w:val="24"/>
          <w:szCs w:val="24"/>
        </w:rPr>
        <w:t xml:space="preserve">the </w:t>
      </w:r>
      <w:r w:rsidR="000D312F">
        <w:rPr>
          <w:rFonts w:ascii="Times New Roman" w:hAnsi="Times New Roman" w:cs="Times New Roman"/>
          <w:sz w:val="24"/>
          <w:szCs w:val="24"/>
        </w:rPr>
        <w:t>FE model</w:t>
      </w:r>
      <w:r>
        <w:rPr>
          <w:rFonts w:ascii="Times New Roman" w:hAnsi="Times New Roman" w:cs="Times New Roman"/>
          <w:sz w:val="24"/>
          <w:szCs w:val="24"/>
        </w:rPr>
        <w:t xml:space="preserve"> is </w:t>
      </w:r>
      <w:r w:rsidR="009F330D">
        <w:rPr>
          <w:rFonts w:ascii="Times New Roman" w:hAnsi="Times New Roman" w:cs="Times New Roman"/>
          <w:sz w:val="24"/>
          <w:szCs w:val="24"/>
        </w:rPr>
        <w:t>higher</w:t>
      </w:r>
      <w:r>
        <w:rPr>
          <w:rFonts w:ascii="Times New Roman" w:hAnsi="Times New Roman" w:cs="Times New Roman"/>
          <w:sz w:val="24"/>
          <w:szCs w:val="24"/>
        </w:rPr>
        <w:t xml:space="preserve"> than the</w:t>
      </w:r>
      <w:r w:rsidR="009F330D">
        <w:rPr>
          <w:rFonts w:ascii="Times New Roman" w:hAnsi="Times New Roman" w:cs="Times New Roman"/>
          <w:sz w:val="24"/>
          <w:szCs w:val="24"/>
        </w:rPr>
        <w:t xml:space="preserve"> number of firms in </w:t>
      </w:r>
      <w:r w:rsidR="006F2BC6">
        <w:rPr>
          <w:rFonts w:ascii="Times New Roman" w:hAnsi="Times New Roman" w:cs="Times New Roman"/>
          <w:sz w:val="24"/>
          <w:szCs w:val="24"/>
        </w:rPr>
        <w:t>the</w:t>
      </w:r>
      <w:r>
        <w:rPr>
          <w:rFonts w:ascii="Times New Roman" w:hAnsi="Times New Roman" w:cs="Times New Roman"/>
          <w:sz w:val="24"/>
          <w:szCs w:val="24"/>
        </w:rPr>
        <w:t xml:space="preserve"> SE model. </w:t>
      </w:r>
      <w:r w:rsidR="00732218">
        <w:rPr>
          <w:rFonts w:ascii="Times New Roman" w:hAnsi="Times New Roman" w:cs="Times New Roman"/>
          <w:sz w:val="24"/>
          <w:szCs w:val="24"/>
        </w:rPr>
        <w:t>The mean value of</w:t>
      </w:r>
      <w:r w:rsidR="000D312F">
        <w:rPr>
          <w:rFonts w:ascii="Times New Roman" w:hAnsi="Times New Roman" w:cs="Times New Roman"/>
          <w:sz w:val="24"/>
          <w:szCs w:val="24"/>
        </w:rPr>
        <w:t xml:space="preserve"> CRSTE</w:t>
      </w:r>
      <w:r w:rsidR="00010C86">
        <w:rPr>
          <w:rFonts w:ascii="Times New Roman" w:hAnsi="Times New Roman" w:cs="Times New Roman"/>
          <w:sz w:val="24"/>
          <w:szCs w:val="24"/>
        </w:rPr>
        <w:t xml:space="preserve"> (FE)</w:t>
      </w:r>
      <w:r w:rsidR="000D312F">
        <w:rPr>
          <w:rFonts w:ascii="Times New Roman" w:hAnsi="Times New Roman" w:cs="Times New Roman"/>
          <w:sz w:val="24"/>
          <w:szCs w:val="24"/>
        </w:rPr>
        <w:t xml:space="preserve"> </w:t>
      </w:r>
      <w:r w:rsidR="00010C86">
        <w:rPr>
          <w:rFonts w:ascii="Times New Roman" w:hAnsi="Times New Roman" w:cs="Times New Roman"/>
          <w:sz w:val="24"/>
          <w:szCs w:val="24"/>
        </w:rPr>
        <w:t>ranges from 0.8 to 0.9, which explains that an output rise is required, ranging from 10- 20 %</w:t>
      </w:r>
      <w:r w:rsidR="006F2BC6">
        <w:rPr>
          <w:rFonts w:ascii="Times New Roman" w:hAnsi="Times New Roman" w:cs="Times New Roman"/>
          <w:sz w:val="24"/>
          <w:szCs w:val="24"/>
        </w:rPr>
        <w:t>,</w:t>
      </w:r>
      <w:r w:rsidR="00010C86">
        <w:rPr>
          <w:rFonts w:ascii="Times New Roman" w:hAnsi="Times New Roman" w:cs="Times New Roman"/>
          <w:sz w:val="24"/>
          <w:szCs w:val="24"/>
        </w:rPr>
        <w:t xml:space="preserve"> for a given input level to achieve efficiency. </w:t>
      </w:r>
      <w:r w:rsidR="002E3E06">
        <w:rPr>
          <w:rFonts w:ascii="Times New Roman" w:hAnsi="Times New Roman" w:cs="Times New Roman"/>
          <w:sz w:val="24"/>
          <w:szCs w:val="24"/>
        </w:rPr>
        <w:t xml:space="preserve">The means CRSTE (SE) ranges from 0.5 to 0.61, which explains that an output rise is required, ranging from 40- 50 % for a given input level to achieve efficiency. </w:t>
      </w:r>
    </w:p>
    <w:p w:rsidR="00522A9E" w:rsidRDefault="00A86E35" w:rsidP="00522A9E">
      <w:pPr>
        <w:spacing w:line="480" w:lineRule="auto"/>
        <w:jc w:val="both"/>
        <w:rPr>
          <w:rFonts w:ascii="Times New Roman" w:hAnsi="Times New Roman" w:cs="Times New Roman"/>
          <w:sz w:val="24"/>
          <w:szCs w:val="24"/>
        </w:rPr>
      </w:pPr>
      <w:r>
        <w:rPr>
          <w:rFonts w:ascii="Times New Roman" w:hAnsi="Times New Roman" w:cs="Times New Roman"/>
          <w:sz w:val="24"/>
          <w:szCs w:val="24"/>
        </w:rPr>
        <w:t>The firm-wise efficiency scores are mentioned in table 6. The t</w:t>
      </w:r>
      <w:r w:rsidR="00856227">
        <w:rPr>
          <w:rFonts w:ascii="Times New Roman" w:hAnsi="Times New Roman" w:cs="Times New Roman"/>
          <w:sz w:val="24"/>
          <w:szCs w:val="24"/>
        </w:rPr>
        <w:t>wo measurement models, CRSTE,</w:t>
      </w:r>
      <w:r>
        <w:rPr>
          <w:rFonts w:ascii="Times New Roman" w:hAnsi="Times New Roman" w:cs="Times New Roman"/>
          <w:sz w:val="24"/>
          <w:szCs w:val="24"/>
        </w:rPr>
        <w:t xml:space="preserve"> VRSTE</w:t>
      </w:r>
      <w:r w:rsidR="00856227">
        <w:rPr>
          <w:rFonts w:ascii="Times New Roman" w:hAnsi="Times New Roman" w:cs="Times New Roman"/>
          <w:sz w:val="24"/>
          <w:szCs w:val="24"/>
        </w:rPr>
        <w:t xml:space="preserve">, </w:t>
      </w:r>
      <w:r w:rsidR="00A479A1">
        <w:rPr>
          <w:rFonts w:ascii="Times New Roman" w:hAnsi="Times New Roman" w:cs="Times New Roman"/>
          <w:sz w:val="24"/>
          <w:szCs w:val="24"/>
        </w:rPr>
        <w:t>scale efficiency</w:t>
      </w:r>
      <w:r w:rsidR="00856227">
        <w:rPr>
          <w:rFonts w:ascii="Times New Roman" w:hAnsi="Times New Roman" w:cs="Times New Roman"/>
          <w:sz w:val="24"/>
          <w:szCs w:val="24"/>
        </w:rPr>
        <w:t>, and returns to scale (RTS)</w:t>
      </w:r>
      <w:r w:rsidR="00A479A1">
        <w:rPr>
          <w:rFonts w:ascii="Times New Roman" w:hAnsi="Times New Roman" w:cs="Times New Roman"/>
          <w:sz w:val="24"/>
          <w:szCs w:val="24"/>
        </w:rPr>
        <w:t xml:space="preserve"> are estimated. The mean CRSTE (FE) explains that the firm can </w:t>
      </w:r>
      <w:r w:rsidR="00A479A1" w:rsidRPr="002C2588">
        <w:rPr>
          <w:rFonts w:ascii="Times New Roman" w:hAnsi="Times New Roman" w:cs="Times New Roman"/>
          <w:sz w:val="24"/>
          <w:szCs w:val="24"/>
        </w:rPr>
        <w:t>maximi</w:t>
      </w:r>
      <w:r w:rsidR="00A479A1">
        <w:rPr>
          <w:rFonts w:ascii="Times New Roman" w:hAnsi="Times New Roman" w:cs="Times New Roman"/>
          <w:sz w:val="24"/>
          <w:szCs w:val="24"/>
        </w:rPr>
        <w:t>z</w:t>
      </w:r>
      <w:r w:rsidR="00A479A1" w:rsidRPr="002C2588">
        <w:rPr>
          <w:rFonts w:ascii="Times New Roman" w:hAnsi="Times New Roman" w:cs="Times New Roman"/>
          <w:sz w:val="24"/>
          <w:szCs w:val="24"/>
        </w:rPr>
        <w:t xml:space="preserve">e </w:t>
      </w:r>
      <w:r w:rsidR="007D23D0">
        <w:rPr>
          <w:rFonts w:ascii="Times New Roman" w:hAnsi="Times New Roman" w:cs="Times New Roman"/>
          <w:sz w:val="24"/>
          <w:szCs w:val="24"/>
        </w:rPr>
        <w:t xml:space="preserve">output by </w:t>
      </w:r>
      <w:r w:rsidR="00A479A1" w:rsidRPr="002C2588">
        <w:rPr>
          <w:rFonts w:ascii="Times New Roman" w:hAnsi="Times New Roman" w:cs="Times New Roman"/>
          <w:sz w:val="24"/>
          <w:szCs w:val="24"/>
        </w:rPr>
        <w:t xml:space="preserve">10.1 percent </w:t>
      </w:r>
      <w:r w:rsidR="00A479A1">
        <w:rPr>
          <w:rFonts w:ascii="Times New Roman" w:hAnsi="Times New Roman" w:cs="Times New Roman"/>
          <w:sz w:val="24"/>
          <w:szCs w:val="24"/>
        </w:rPr>
        <w:t xml:space="preserve">by maintaining </w:t>
      </w:r>
      <w:r w:rsidR="009B30E1">
        <w:rPr>
          <w:rFonts w:ascii="Times New Roman" w:hAnsi="Times New Roman" w:cs="Times New Roman"/>
          <w:sz w:val="24"/>
          <w:szCs w:val="24"/>
        </w:rPr>
        <w:t xml:space="preserve">input levels. </w:t>
      </w:r>
      <w:r w:rsidR="007D23D0">
        <w:rPr>
          <w:rFonts w:ascii="Times New Roman" w:hAnsi="Times New Roman" w:cs="Times New Roman"/>
          <w:sz w:val="24"/>
          <w:szCs w:val="24"/>
        </w:rPr>
        <w:t>For</w:t>
      </w:r>
      <w:r w:rsidR="009B30E1">
        <w:rPr>
          <w:rFonts w:ascii="Times New Roman" w:hAnsi="Times New Roman" w:cs="Times New Roman"/>
          <w:sz w:val="24"/>
          <w:szCs w:val="24"/>
        </w:rPr>
        <w:t xml:space="preserve"> VRSTE (FE) model</w:t>
      </w:r>
      <w:r w:rsidR="00C73A9E">
        <w:rPr>
          <w:rFonts w:ascii="Times New Roman" w:hAnsi="Times New Roman" w:cs="Times New Roman"/>
          <w:sz w:val="24"/>
          <w:szCs w:val="24"/>
        </w:rPr>
        <w:t>,</w:t>
      </w:r>
      <w:r w:rsidR="009B30E1">
        <w:rPr>
          <w:rFonts w:ascii="Times New Roman" w:hAnsi="Times New Roman" w:cs="Times New Roman"/>
          <w:sz w:val="24"/>
          <w:szCs w:val="24"/>
        </w:rPr>
        <w:t xml:space="preserve"> the firm can </w:t>
      </w:r>
      <w:r w:rsidR="009B30E1" w:rsidRPr="002C2588">
        <w:rPr>
          <w:rFonts w:ascii="Times New Roman" w:hAnsi="Times New Roman" w:cs="Times New Roman"/>
          <w:sz w:val="24"/>
          <w:szCs w:val="24"/>
        </w:rPr>
        <w:t>maximi</w:t>
      </w:r>
      <w:r w:rsidR="009B30E1">
        <w:rPr>
          <w:rFonts w:ascii="Times New Roman" w:hAnsi="Times New Roman" w:cs="Times New Roman"/>
          <w:sz w:val="24"/>
          <w:szCs w:val="24"/>
        </w:rPr>
        <w:t>z</w:t>
      </w:r>
      <w:r w:rsidR="009B30E1" w:rsidRPr="002C2588">
        <w:rPr>
          <w:rFonts w:ascii="Times New Roman" w:hAnsi="Times New Roman" w:cs="Times New Roman"/>
          <w:sz w:val="24"/>
          <w:szCs w:val="24"/>
        </w:rPr>
        <w:t xml:space="preserve">e </w:t>
      </w:r>
      <w:r w:rsidR="007D23D0">
        <w:rPr>
          <w:rFonts w:ascii="Times New Roman" w:hAnsi="Times New Roman" w:cs="Times New Roman"/>
          <w:sz w:val="24"/>
          <w:szCs w:val="24"/>
        </w:rPr>
        <w:t xml:space="preserve">output by </w:t>
      </w:r>
      <w:r w:rsidR="009B30E1" w:rsidRPr="002C2588">
        <w:rPr>
          <w:rFonts w:ascii="Times New Roman" w:hAnsi="Times New Roman" w:cs="Times New Roman"/>
          <w:sz w:val="24"/>
          <w:szCs w:val="24"/>
        </w:rPr>
        <w:t xml:space="preserve">7.9 percent </w:t>
      </w:r>
      <w:r w:rsidR="009B30E1">
        <w:rPr>
          <w:rFonts w:ascii="Times New Roman" w:hAnsi="Times New Roman" w:cs="Times New Roman"/>
          <w:sz w:val="24"/>
          <w:szCs w:val="24"/>
        </w:rPr>
        <w:t>by retaining the input levels.</w:t>
      </w:r>
      <w:r w:rsidR="00522A9E">
        <w:rPr>
          <w:rFonts w:ascii="Times New Roman" w:hAnsi="Times New Roman" w:cs="Times New Roman"/>
          <w:sz w:val="24"/>
          <w:szCs w:val="24"/>
        </w:rPr>
        <w:t xml:space="preserve"> </w:t>
      </w:r>
      <w:r w:rsidR="001641D3">
        <w:rPr>
          <w:rFonts w:ascii="Times New Roman" w:hAnsi="Times New Roman" w:cs="Times New Roman"/>
          <w:sz w:val="24"/>
          <w:szCs w:val="24"/>
        </w:rPr>
        <w:t xml:space="preserve">The mean </w:t>
      </w:r>
      <w:r w:rsidR="00522A9E">
        <w:rPr>
          <w:rFonts w:ascii="Times New Roman" w:hAnsi="Times New Roman" w:cs="Times New Roman"/>
          <w:sz w:val="24"/>
          <w:szCs w:val="24"/>
        </w:rPr>
        <w:t xml:space="preserve"> CRSTE</w:t>
      </w:r>
      <w:r w:rsidR="001641D3">
        <w:rPr>
          <w:rFonts w:ascii="Times New Roman" w:hAnsi="Times New Roman" w:cs="Times New Roman"/>
          <w:sz w:val="24"/>
          <w:szCs w:val="24"/>
        </w:rPr>
        <w:t xml:space="preserve"> </w:t>
      </w:r>
      <w:r w:rsidR="004B324B">
        <w:rPr>
          <w:rFonts w:ascii="Times New Roman" w:hAnsi="Times New Roman" w:cs="Times New Roman"/>
          <w:sz w:val="24"/>
          <w:szCs w:val="24"/>
        </w:rPr>
        <w:t xml:space="preserve">in the </w:t>
      </w:r>
      <w:r w:rsidR="001641D3">
        <w:rPr>
          <w:rFonts w:ascii="Times New Roman" w:hAnsi="Times New Roman" w:cs="Times New Roman"/>
          <w:sz w:val="24"/>
          <w:szCs w:val="24"/>
        </w:rPr>
        <w:t>(SE)</w:t>
      </w:r>
      <w:r w:rsidR="00522A9E">
        <w:rPr>
          <w:rFonts w:ascii="Times New Roman" w:hAnsi="Times New Roman" w:cs="Times New Roman"/>
          <w:sz w:val="24"/>
          <w:szCs w:val="24"/>
        </w:rPr>
        <w:t xml:space="preserve"> </w:t>
      </w:r>
      <w:r w:rsidR="001641D3">
        <w:rPr>
          <w:rFonts w:ascii="Times New Roman" w:hAnsi="Times New Roman" w:cs="Times New Roman"/>
          <w:sz w:val="24"/>
          <w:szCs w:val="24"/>
        </w:rPr>
        <w:t xml:space="preserve">model </w:t>
      </w:r>
      <w:r w:rsidR="00522A9E">
        <w:rPr>
          <w:rFonts w:ascii="Times New Roman" w:hAnsi="Times New Roman" w:cs="Times New Roman"/>
          <w:sz w:val="24"/>
          <w:szCs w:val="24"/>
        </w:rPr>
        <w:t xml:space="preserve">needs to maximize the output by 38.6 percent while </w:t>
      </w:r>
      <w:r w:rsidR="001641D3">
        <w:rPr>
          <w:rFonts w:ascii="Times New Roman" w:hAnsi="Times New Roman" w:cs="Times New Roman"/>
          <w:sz w:val="24"/>
          <w:szCs w:val="24"/>
        </w:rPr>
        <w:t>retaining</w:t>
      </w:r>
      <w:r w:rsidR="00522A9E">
        <w:rPr>
          <w:rFonts w:ascii="Times New Roman" w:hAnsi="Times New Roman" w:cs="Times New Roman"/>
          <w:sz w:val="24"/>
          <w:szCs w:val="24"/>
        </w:rPr>
        <w:t xml:space="preserve"> the same input level. </w:t>
      </w:r>
    </w:p>
    <w:p w:rsidR="00522A9E" w:rsidRDefault="008D0F2C" w:rsidP="00080E69">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080E69">
        <w:rPr>
          <w:rFonts w:ascii="Times New Roman" w:hAnsi="Times New Roman" w:cs="Times New Roman"/>
          <w:sz w:val="24"/>
          <w:szCs w:val="24"/>
        </w:rPr>
        <w:t xml:space="preserve">he FE model </w:t>
      </w:r>
      <w:r>
        <w:rPr>
          <w:rFonts w:ascii="Times New Roman" w:hAnsi="Times New Roman" w:cs="Times New Roman"/>
          <w:sz w:val="24"/>
          <w:szCs w:val="24"/>
        </w:rPr>
        <w:t>shows that (table 6) NBFC-MFI number</w:t>
      </w:r>
      <w:r w:rsidR="004B324B">
        <w:rPr>
          <w:rFonts w:ascii="Times New Roman" w:hAnsi="Times New Roman" w:cs="Times New Roman"/>
          <w:sz w:val="24"/>
          <w:szCs w:val="24"/>
        </w:rPr>
        <w:t>s</w:t>
      </w:r>
      <w:r w:rsidR="00080E69">
        <w:rPr>
          <w:rFonts w:ascii="Times New Roman" w:hAnsi="Times New Roman" w:cs="Times New Roman"/>
          <w:sz w:val="24"/>
          <w:szCs w:val="24"/>
        </w:rPr>
        <w:t xml:space="preserve"> five, ten, eleven, eighteen,  and twenty-three have increasing </w:t>
      </w:r>
      <w:r w:rsidR="005D7C2F">
        <w:rPr>
          <w:rFonts w:ascii="Times New Roman" w:hAnsi="Times New Roman" w:cs="Times New Roman"/>
          <w:sz w:val="24"/>
          <w:szCs w:val="24"/>
        </w:rPr>
        <w:t>RTS</w:t>
      </w:r>
      <w:r w:rsidR="00080E69" w:rsidRPr="002C2588">
        <w:rPr>
          <w:rFonts w:ascii="Times New Roman" w:hAnsi="Times New Roman" w:cs="Times New Roman"/>
          <w:sz w:val="24"/>
          <w:szCs w:val="24"/>
        </w:rPr>
        <w:t xml:space="preserve"> to minimi</w:t>
      </w:r>
      <w:r w:rsidR="00080E69">
        <w:rPr>
          <w:rFonts w:ascii="Times New Roman" w:hAnsi="Times New Roman" w:cs="Times New Roman"/>
          <w:sz w:val="24"/>
          <w:szCs w:val="24"/>
        </w:rPr>
        <w:t>z</w:t>
      </w:r>
      <w:r w:rsidR="00080E69" w:rsidRPr="002C2588">
        <w:rPr>
          <w:rFonts w:ascii="Times New Roman" w:hAnsi="Times New Roman" w:cs="Times New Roman"/>
          <w:sz w:val="24"/>
          <w:szCs w:val="24"/>
        </w:rPr>
        <w:t>e the firm's average cost.</w:t>
      </w:r>
      <w:r w:rsidR="00080E69">
        <w:rPr>
          <w:rFonts w:ascii="Times New Roman" w:hAnsi="Times New Roman" w:cs="Times New Roman"/>
          <w:sz w:val="24"/>
          <w:szCs w:val="24"/>
        </w:rPr>
        <w:t xml:space="preserve"> The NBFC-MFI thirteen shows</w:t>
      </w:r>
      <w:r w:rsidR="0002040B">
        <w:rPr>
          <w:rFonts w:ascii="Times New Roman" w:hAnsi="Times New Roman" w:cs="Times New Roman"/>
          <w:sz w:val="24"/>
          <w:szCs w:val="24"/>
        </w:rPr>
        <w:t xml:space="preserve"> are</w:t>
      </w:r>
      <w:r w:rsidR="00080E69">
        <w:rPr>
          <w:rFonts w:ascii="Times New Roman" w:hAnsi="Times New Roman" w:cs="Times New Roman"/>
          <w:sz w:val="24"/>
          <w:szCs w:val="24"/>
        </w:rPr>
        <w:t xml:space="preserve"> decreasing </w:t>
      </w:r>
      <w:r w:rsidR="005D7C2F">
        <w:rPr>
          <w:rFonts w:ascii="Times New Roman" w:hAnsi="Times New Roman" w:cs="Times New Roman"/>
          <w:sz w:val="24"/>
          <w:szCs w:val="24"/>
        </w:rPr>
        <w:t>RTS</w:t>
      </w:r>
      <w:r w:rsidR="00080E69">
        <w:rPr>
          <w:rFonts w:ascii="Times New Roman" w:hAnsi="Times New Roman" w:cs="Times New Roman"/>
          <w:sz w:val="24"/>
          <w:szCs w:val="24"/>
        </w:rPr>
        <w:t xml:space="preserve">. </w:t>
      </w:r>
      <w:r>
        <w:rPr>
          <w:rFonts w:ascii="Times New Roman" w:hAnsi="Times New Roman" w:cs="Times New Roman"/>
          <w:sz w:val="24"/>
          <w:szCs w:val="24"/>
        </w:rPr>
        <w:t>The</w:t>
      </w:r>
      <w:r w:rsidR="0002040B">
        <w:rPr>
          <w:rFonts w:ascii="Times New Roman" w:hAnsi="Times New Roman" w:cs="Times New Roman"/>
          <w:sz w:val="24"/>
          <w:szCs w:val="24"/>
        </w:rPr>
        <w:t xml:space="preserve"> SE model </w:t>
      </w:r>
      <w:r w:rsidR="004B324B">
        <w:rPr>
          <w:rFonts w:ascii="Times New Roman" w:hAnsi="Times New Roman" w:cs="Times New Roman"/>
          <w:sz w:val="24"/>
          <w:szCs w:val="24"/>
        </w:rPr>
        <w:t>finds</w:t>
      </w:r>
      <w:r>
        <w:rPr>
          <w:rFonts w:ascii="Times New Roman" w:hAnsi="Times New Roman" w:cs="Times New Roman"/>
          <w:sz w:val="24"/>
          <w:szCs w:val="24"/>
        </w:rPr>
        <w:t xml:space="preserve"> </w:t>
      </w:r>
      <w:r w:rsidR="0002040B">
        <w:rPr>
          <w:rFonts w:ascii="Times New Roman" w:hAnsi="Times New Roman" w:cs="Times New Roman"/>
          <w:sz w:val="24"/>
          <w:szCs w:val="24"/>
        </w:rPr>
        <w:t xml:space="preserve">all the </w:t>
      </w:r>
      <w:r>
        <w:rPr>
          <w:rFonts w:ascii="Times New Roman" w:hAnsi="Times New Roman" w:cs="Times New Roman"/>
          <w:sz w:val="24"/>
          <w:szCs w:val="24"/>
        </w:rPr>
        <w:t>firms</w:t>
      </w:r>
      <w:r w:rsidR="0002040B">
        <w:rPr>
          <w:rFonts w:ascii="Times New Roman" w:hAnsi="Times New Roman" w:cs="Times New Roman"/>
          <w:sz w:val="24"/>
          <w:szCs w:val="24"/>
        </w:rPr>
        <w:t xml:space="preserve"> show</w:t>
      </w:r>
      <w:r w:rsidR="004B324B">
        <w:rPr>
          <w:rFonts w:ascii="Times New Roman" w:hAnsi="Times New Roman" w:cs="Times New Roman"/>
          <w:sz w:val="24"/>
          <w:szCs w:val="24"/>
        </w:rPr>
        <w:t>ing</w:t>
      </w:r>
      <w:r w:rsidR="0002040B">
        <w:rPr>
          <w:rFonts w:ascii="Times New Roman" w:hAnsi="Times New Roman" w:cs="Times New Roman"/>
          <w:sz w:val="24"/>
          <w:szCs w:val="24"/>
        </w:rPr>
        <w:t xml:space="preserve"> d</w:t>
      </w:r>
      <w:r w:rsidR="0070743C">
        <w:rPr>
          <w:rFonts w:ascii="Times New Roman" w:hAnsi="Times New Roman" w:cs="Times New Roman"/>
          <w:sz w:val="24"/>
          <w:szCs w:val="24"/>
        </w:rPr>
        <w:t>iminish</w:t>
      </w:r>
      <w:r w:rsidR="0002040B">
        <w:rPr>
          <w:rFonts w:ascii="Times New Roman" w:hAnsi="Times New Roman" w:cs="Times New Roman"/>
          <w:sz w:val="24"/>
          <w:szCs w:val="24"/>
        </w:rPr>
        <w:t xml:space="preserve">ing </w:t>
      </w:r>
      <w:r w:rsidR="005D7C2F">
        <w:rPr>
          <w:rFonts w:ascii="Times New Roman" w:hAnsi="Times New Roman" w:cs="Times New Roman"/>
          <w:sz w:val="24"/>
          <w:szCs w:val="24"/>
        </w:rPr>
        <w:t>RTS</w:t>
      </w:r>
      <w:r w:rsidR="00396BFF">
        <w:rPr>
          <w:rFonts w:ascii="Times New Roman" w:hAnsi="Times New Roman" w:cs="Times New Roman"/>
          <w:sz w:val="24"/>
          <w:szCs w:val="24"/>
        </w:rPr>
        <w:t xml:space="preserve"> except </w:t>
      </w:r>
      <w:r w:rsidR="00DE4056">
        <w:rPr>
          <w:rFonts w:ascii="Times New Roman" w:hAnsi="Times New Roman" w:cs="Times New Roman"/>
          <w:sz w:val="24"/>
          <w:szCs w:val="24"/>
        </w:rPr>
        <w:t>firm one</w:t>
      </w:r>
      <w:r w:rsidR="00396BFF">
        <w:rPr>
          <w:rFonts w:ascii="Times New Roman" w:hAnsi="Times New Roman" w:cs="Times New Roman"/>
          <w:sz w:val="24"/>
          <w:szCs w:val="24"/>
        </w:rPr>
        <w:t xml:space="preserve"> with </w:t>
      </w:r>
      <w:r w:rsidR="0070743C">
        <w:rPr>
          <w:rFonts w:ascii="Times New Roman" w:hAnsi="Times New Roman" w:cs="Times New Roman"/>
          <w:sz w:val="24"/>
          <w:szCs w:val="24"/>
        </w:rPr>
        <w:t xml:space="preserve">the </w:t>
      </w:r>
      <w:r w:rsidR="00396BFF">
        <w:rPr>
          <w:rFonts w:ascii="Times New Roman" w:hAnsi="Times New Roman" w:cs="Times New Roman"/>
          <w:sz w:val="24"/>
          <w:szCs w:val="24"/>
        </w:rPr>
        <w:t xml:space="preserve">constant </w:t>
      </w:r>
      <w:r w:rsidR="00DD1AD4">
        <w:rPr>
          <w:rFonts w:ascii="Times New Roman" w:hAnsi="Times New Roman" w:cs="Times New Roman"/>
          <w:sz w:val="24"/>
          <w:szCs w:val="24"/>
        </w:rPr>
        <w:t>RTS.</w:t>
      </w:r>
    </w:p>
    <w:p w:rsidR="00801A68" w:rsidRDefault="00801A68" w:rsidP="00080E69">
      <w:pPr>
        <w:spacing w:line="480" w:lineRule="auto"/>
        <w:jc w:val="both"/>
        <w:rPr>
          <w:rFonts w:ascii="Times New Roman" w:hAnsi="Times New Roman" w:cs="Times New Roman"/>
          <w:sz w:val="24"/>
          <w:szCs w:val="24"/>
        </w:rPr>
      </w:pPr>
    </w:p>
    <w:p w:rsidR="00801A68" w:rsidRDefault="00801A68" w:rsidP="00080E69">
      <w:pPr>
        <w:spacing w:line="480" w:lineRule="auto"/>
        <w:jc w:val="both"/>
        <w:rPr>
          <w:rFonts w:ascii="Times New Roman" w:hAnsi="Times New Roman" w:cs="Times New Roman"/>
          <w:sz w:val="24"/>
          <w:szCs w:val="24"/>
        </w:rPr>
      </w:pPr>
    </w:p>
    <w:p w:rsidR="00977FD4" w:rsidRDefault="00977FD4" w:rsidP="00080E69">
      <w:pPr>
        <w:spacing w:line="480" w:lineRule="auto"/>
        <w:jc w:val="both"/>
        <w:rPr>
          <w:rFonts w:ascii="Times New Roman" w:hAnsi="Times New Roman" w:cs="Times New Roman"/>
          <w:sz w:val="24"/>
          <w:szCs w:val="24"/>
        </w:rPr>
      </w:pPr>
    </w:p>
    <w:p w:rsidR="00707A38" w:rsidRDefault="00707A38" w:rsidP="002C2588">
      <w:pPr>
        <w:spacing w:line="48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Table 6 </w:t>
      </w:r>
      <w:r w:rsidR="00DF2F49" w:rsidRPr="00DF2F49">
        <w:rPr>
          <w:rFonts w:ascii="Times New Roman" w:hAnsi="Times New Roman" w:cs="Times New Roman"/>
          <w:sz w:val="20"/>
          <w:szCs w:val="20"/>
        </w:rPr>
        <w:t xml:space="preserve">Summary of Efficiency </w:t>
      </w:r>
    </w:p>
    <w:tbl>
      <w:tblPr>
        <w:tblW w:w="8420" w:type="dxa"/>
        <w:tblCellMar>
          <w:left w:w="0" w:type="dxa"/>
          <w:right w:w="0" w:type="dxa"/>
        </w:tblCellMar>
        <w:tblLook w:val="04A0" w:firstRow="1" w:lastRow="0" w:firstColumn="1" w:lastColumn="0" w:noHBand="0" w:noVBand="1"/>
      </w:tblPr>
      <w:tblGrid>
        <w:gridCol w:w="773"/>
        <w:gridCol w:w="773"/>
        <w:gridCol w:w="1006"/>
        <w:gridCol w:w="850"/>
        <w:gridCol w:w="1134"/>
        <w:gridCol w:w="1418"/>
        <w:gridCol w:w="709"/>
        <w:gridCol w:w="850"/>
        <w:gridCol w:w="907"/>
      </w:tblGrid>
      <w:tr w:rsidR="00517A4C" w:rsidTr="00F54CED">
        <w:trPr>
          <w:trHeight w:val="211"/>
        </w:trPr>
        <w:tc>
          <w:tcPr>
            <w:tcW w:w="4536" w:type="dxa"/>
            <w:gridSpan w:val="5"/>
            <w:tcBorders>
              <w:top w:val="single" w:sz="4" w:space="0" w:color="auto"/>
            </w:tcBorders>
            <w:shd w:val="clear" w:color="auto" w:fill="auto"/>
            <w:noWrap/>
            <w:tcMar>
              <w:top w:w="15" w:type="dxa"/>
              <w:left w:w="15" w:type="dxa"/>
              <w:bottom w:w="0" w:type="dxa"/>
              <w:right w:w="15" w:type="dxa"/>
            </w:tcMar>
            <w:vAlign w:val="center"/>
            <w:hideMark/>
          </w:tcPr>
          <w:p w:rsidR="00517A4C" w:rsidRDefault="00517A4C" w:rsidP="00801A68">
            <w:pPr>
              <w:jc w:val="both"/>
              <w:rPr>
                <w:color w:val="000000"/>
                <w:sz w:val="20"/>
                <w:szCs w:val="20"/>
              </w:rPr>
            </w:pPr>
            <w:r>
              <w:rPr>
                <w:color w:val="000000"/>
                <w:sz w:val="20"/>
                <w:szCs w:val="20"/>
              </w:rPr>
              <w:t xml:space="preserve">                                           SE</w:t>
            </w:r>
          </w:p>
        </w:tc>
        <w:tc>
          <w:tcPr>
            <w:tcW w:w="3884" w:type="dxa"/>
            <w:gridSpan w:val="4"/>
            <w:tcBorders>
              <w:top w:val="single" w:sz="4" w:space="0" w:color="auto"/>
            </w:tcBorders>
            <w:shd w:val="clear" w:color="auto" w:fill="auto"/>
            <w:noWrap/>
            <w:tcMar>
              <w:top w:w="15" w:type="dxa"/>
              <w:left w:w="15" w:type="dxa"/>
              <w:bottom w:w="0" w:type="dxa"/>
              <w:right w:w="15" w:type="dxa"/>
            </w:tcMar>
            <w:vAlign w:val="center"/>
            <w:hideMark/>
          </w:tcPr>
          <w:p w:rsidR="00517A4C" w:rsidRDefault="00517A4C" w:rsidP="00801A68">
            <w:pPr>
              <w:jc w:val="both"/>
              <w:rPr>
                <w:color w:val="000000"/>
                <w:sz w:val="20"/>
                <w:szCs w:val="20"/>
              </w:rPr>
            </w:pPr>
            <w:r>
              <w:rPr>
                <w:color w:val="000000"/>
                <w:sz w:val="20"/>
                <w:szCs w:val="20"/>
              </w:rPr>
              <w:t xml:space="preserve">                                 FE</w:t>
            </w:r>
          </w:p>
        </w:tc>
      </w:tr>
      <w:tr w:rsidR="0009616B" w:rsidTr="00F54CED">
        <w:trPr>
          <w:trHeight w:val="482"/>
        </w:trPr>
        <w:tc>
          <w:tcPr>
            <w:tcW w:w="773"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NBFC-MFI</w:t>
            </w:r>
          </w:p>
        </w:tc>
        <w:tc>
          <w:tcPr>
            <w:tcW w:w="773"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CRSTE</w:t>
            </w:r>
          </w:p>
        </w:tc>
        <w:tc>
          <w:tcPr>
            <w:tcW w:w="1006"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VRSTE</w:t>
            </w:r>
          </w:p>
        </w:tc>
        <w:tc>
          <w:tcPr>
            <w:tcW w:w="850"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SCALE</w:t>
            </w:r>
          </w:p>
        </w:tc>
        <w:tc>
          <w:tcPr>
            <w:tcW w:w="1134" w:type="dxa"/>
            <w:tcBorders>
              <w:bottom w:val="single" w:sz="4" w:space="0" w:color="auto"/>
            </w:tcBorders>
            <w:shd w:val="clear" w:color="auto" w:fill="auto"/>
            <w:vAlign w:val="center"/>
          </w:tcPr>
          <w:p w:rsidR="0009616B" w:rsidRDefault="0009616B" w:rsidP="00801A68">
            <w:pPr>
              <w:jc w:val="both"/>
              <w:rPr>
                <w:color w:val="000000"/>
                <w:sz w:val="20"/>
                <w:szCs w:val="20"/>
              </w:rPr>
            </w:pPr>
            <w:r>
              <w:rPr>
                <w:color w:val="000000"/>
                <w:sz w:val="20"/>
                <w:szCs w:val="20"/>
              </w:rPr>
              <w:t>RTS</w:t>
            </w:r>
          </w:p>
        </w:tc>
        <w:tc>
          <w:tcPr>
            <w:tcW w:w="1418"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CRSTE</w:t>
            </w:r>
          </w:p>
        </w:tc>
        <w:tc>
          <w:tcPr>
            <w:tcW w:w="709"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VRSTE</w:t>
            </w:r>
          </w:p>
        </w:tc>
        <w:tc>
          <w:tcPr>
            <w:tcW w:w="850"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SCALE</w:t>
            </w:r>
          </w:p>
        </w:tc>
        <w:tc>
          <w:tcPr>
            <w:tcW w:w="907" w:type="dxa"/>
            <w:tcBorders>
              <w:bottom w:val="single" w:sz="4" w:space="0" w:color="auto"/>
            </w:tcBorders>
            <w:shd w:val="clear" w:color="auto" w:fill="auto"/>
            <w:noWrap/>
            <w:tcMar>
              <w:top w:w="15" w:type="dxa"/>
              <w:left w:w="15" w:type="dxa"/>
              <w:bottom w:w="0" w:type="dxa"/>
              <w:right w:w="15" w:type="dxa"/>
            </w:tcMar>
            <w:vAlign w:val="center"/>
            <w:hideMark/>
          </w:tcPr>
          <w:p w:rsidR="0009616B" w:rsidRDefault="0009616B" w:rsidP="00801A68">
            <w:pPr>
              <w:jc w:val="both"/>
              <w:rPr>
                <w:color w:val="000000"/>
                <w:sz w:val="20"/>
                <w:szCs w:val="20"/>
              </w:rPr>
            </w:pPr>
            <w:r>
              <w:rPr>
                <w:color w:val="000000"/>
                <w:sz w:val="20"/>
                <w:szCs w:val="20"/>
              </w:rPr>
              <w:t>RTS</w:t>
            </w:r>
          </w:p>
        </w:tc>
      </w:tr>
      <w:tr w:rsidR="0009616B" w:rsidTr="00F54CED">
        <w:trPr>
          <w:trHeight w:val="301"/>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1006"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1134" w:type="dxa"/>
            <w:tcBorders>
              <w:top w:val="single" w:sz="4" w:space="0" w:color="auto"/>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709"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0.602</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0.602</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0.861</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0.861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0.082</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0.244</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0.3360</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0.636</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0.832</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0.764</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0.97</w:t>
            </w:r>
            <w:r w:rsidR="00EC7703">
              <w:rPr>
                <w:color w:val="000000"/>
                <w:sz w:val="20"/>
                <w:szCs w:val="20"/>
              </w:rPr>
              <w:t>0</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0.97</w:t>
            </w:r>
            <w:r w:rsidR="00EC7703">
              <w:rPr>
                <w:color w:val="000000"/>
                <w:sz w:val="20"/>
                <w:szCs w:val="20"/>
              </w:rPr>
              <w:t>0</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0.44</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0.521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0.844</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0.926</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0.928</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0.997</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6</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0.809</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0.809</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0.636</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0.787</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0.808</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0.895</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0.947</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0.945</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0.621</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0.754</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0.823</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0.76</w:t>
            </w:r>
            <w:r w:rsidR="00EC7703">
              <w:rPr>
                <w:color w:val="000000"/>
                <w:sz w:val="20"/>
                <w:szCs w:val="20"/>
              </w:rPr>
              <w:t>0</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0.77</w:t>
            </w:r>
            <w:r w:rsidR="00EC7703">
              <w:rPr>
                <w:color w:val="000000"/>
                <w:sz w:val="20"/>
                <w:szCs w:val="20"/>
              </w:rPr>
              <w:t>0</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0.987</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9</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0.621</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0.659</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0.942</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10</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0.676</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0.795</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0.850</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0.937</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0.94</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0.996</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11</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0.686</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0.802</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0.855</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0.842</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0.843</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0.998</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0.927</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0.927</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0.938</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0.957</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0.980</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0.907</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0.998</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0.908</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0.506</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0.625</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0.8096</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0.935</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0.947</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0.987</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0.667</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0.873</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0.764</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0.866</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0.891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0.971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16</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0.523</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0.706</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0.740</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0.804</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0.859</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0.935</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0.748</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0.748</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0.523</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0.594</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0.880</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0.916</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0.921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0.994</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19</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0.628</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0.673</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0.933</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0.748</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0.757</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0.988</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20</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0.49</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0.683</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0.717</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0.938</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0.991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0.946</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21</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0.554</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0.676</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0.819</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0.91</w:t>
            </w:r>
            <w:r w:rsidR="00EC7703">
              <w:rPr>
                <w:color w:val="000000"/>
                <w:sz w:val="20"/>
                <w:szCs w:val="20"/>
              </w:rPr>
              <w:t>0</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0.91</w:t>
            </w:r>
            <w:r w:rsidR="00EC7703">
              <w:rPr>
                <w:color w:val="000000"/>
                <w:sz w:val="20"/>
                <w:szCs w:val="20"/>
              </w:rPr>
              <w:t>0</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0.47</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0.506</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0.928</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0.78</w:t>
            </w:r>
            <w:r w:rsidR="00EC7703">
              <w:rPr>
                <w:color w:val="000000"/>
                <w:sz w:val="20"/>
                <w:szCs w:val="20"/>
              </w:rPr>
              <w:t>0</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0.826</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0.944</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0.679</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0.731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0.928</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0.914</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0.915</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0.998</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0.331</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0.34</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0.973</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-1</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0.733</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0.742</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0.987</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25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0.598</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0.632</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0.946</w:t>
            </w:r>
          </w:p>
        </w:tc>
        <w:tc>
          <w:tcPr>
            <w:tcW w:w="1134" w:type="dxa"/>
            <w:tcBorders>
              <w:top w:val="nil"/>
              <w:left w:val="nil"/>
              <w:bottom w:val="nil"/>
              <w:right w:val="nil"/>
            </w:tcBorders>
            <w:shd w:val="clear" w:color="auto" w:fill="auto"/>
            <w:vAlign w:val="center"/>
          </w:tcPr>
          <w:p w:rsidR="0009616B" w:rsidRDefault="0009616B" w:rsidP="0009616B">
            <w:pPr>
              <w:jc w:val="both"/>
              <w:rPr>
                <w:color w:val="000000"/>
                <w:sz w:val="20"/>
                <w:szCs w:val="20"/>
              </w:rPr>
            </w:pPr>
            <w:r>
              <w:rPr>
                <w:color w:val="000000"/>
                <w:sz w:val="20"/>
                <w:szCs w:val="20"/>
              </w:rPr>
              <w:t>0</w:t>
            </w: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0.808</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0.808</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c>
          <w:tcPr>
            <w:tcW w:w="907"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-1</w:t>
            </w:r>
          </w:p>
        </w:tc>
      </w:tr>
      <w:tr w:rsidR="0009616B" w:rsidTr="00F54CED">
        <w:trPr>
          <w:trHeight w:val="301"/>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 xml:space="preserve">Mean </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0.6144</w:t>
            </w:r>
          </w:p>
        </w:tc>
        <w:tc>
          <w:tcPr>
            <w:tcW w:w="1006"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0.73724</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09616B" w:rsidP="0009616B">
            <w:pPr>
              <w:jc w:val="both"/>
              <w:rPr>
                <w:color w:val="000000"/>
                <w:sz w:val="20"/>
                <w:szCs w:val="20"/>
              </w:rPr>
            </w:pPr>
            <w:r>
              <w:rPr>
                <w:color w:val="000000"/>
                <w:sz w:val="20"/>
                <w:szCs w:val="20"/>
              </w:rPr>
              <w:t>0.826</w:t>
            </w:r>
          </w:p>
        </w:tc>
        <w:tc>
          <w:tcPr>
            <w:tcW w:w="1134" w:type="dxa"/>
            <w:tcBorders>
              <w:top w:val="nil"/>
              <w:left w:val="nil"/>
              <w:bottom w:val="nil"/>
              <w:right w:val="nil"/>
            </w:tcBorders>
            <w:shd w:val="clear" w:color="auto" w:fill="auto"/>
            <w:vAlign w:val="bottom"/>
          </w:tcPr>
          <w:p w:rsidR="0009616B" w:rsidRDefault="0009616B" w:rsidP="0009616B">
            <w:pPr>
              <w:jc w:val="both"/>
              <w:rPr>
                <w:color w:val="000000"/>
                <w:sz w:val="20"/>
                <w:szCs w:val="20"/>
              </w:rPr>
            </w:pPr>
          </w:p>
        </w:tc>
        <w:tc>
          <w:tcPr>
            <w:tcW w:w="1418"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0.899</w:t>
            </w:r>
          </w:p>
        </w:tc>
        <w:tc>
          <w:tcPr>
            <w:tcW w:w="709"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0.921</w:t>
            </w:r>
          </w:p>
        </w:tc>
        <w:tc>
          <w:tcPr>
            <w:tcW w:w="850" w:type="dxa"/>
            <w:tcBorders>
              <w:top w:val="nil"/>
              <w:left w:val="nil"/>
              <w:bottom w:val="nil"/>
              <w:right w:val="nil"/>
            </w:tcBorders>
            <w:shd w:val="clear" w:color="auto" w:fill="auto"/>
            <w:noWrap/>
            <w:tcMar>
              <w:top w:w="0" w:type="dxa"/>
              <w:left w:w="15" w:type="dxa"/>
              <w:bottom w:w="0" w:type="dxa"/>
              <w:right w:w="15" w:type="dxa"/>
            </w:tcMar>
            <w:vAlign w:val="center"/>
            <w:hideMark/>
          </w:tcPr>
          <w:p w:rsidR="0009616B" w:rsidRDefault="00EC7703" w:rsidP="0009616B">
            <w:pPr>
              <w:jc w:val="both"/>
              <w:rPr>
                <w:color w:val="000000"/>
                <w:sz w:val="20"/>
                <w:szCs w:val="20"/>
              </w:rPr>
            </w:pPr>
            <w:r>
              <w:rPr>
                <w:color w:val="000000"/>
                <w:sz w:val="20"/>
                <w:szCs w:val="20"/>
              </w:rPr>
              <w:t>0.976</w:t>
            </w:r>
          </w:p>
        </w:tc>
        <w:tc>
          <w:tcPr>
            <w:tcW w:w="907" w:type="dxa"/>
            <w:tcBorders>
              <w:top w:val="nil"/>
              <w:left w:val="nil"/>
              <w:bottom w:val="nil"/>
              <w:right w:val="nil"/>
            </w:tcBorders>
            <w:shd w:val="clear" w:color="auto" w:fill="auto"/>
            <w:noWrap/>
            <w:tcMar>
              <w:top w:w="0" w:type="dxa"/>
              <w:left w:w="15" w:type="dxa"/>
              <w:bottom w:w="0" w:type="dxa"/>
              <w:right w:w="15" w:type="dxa"/>
            </w:tcMar>
            <w:vAlign w:val="bottom"/>
            <w:hideMark/>
          </w:tcPr>
          <w:p w:rsidR="0009616B" w:rsidRDefault="0009616B" w:rsidP="0009616B">
            <w:pPr>
              <w:rPr>
                <w:sz w:val="20"/>
                <w:szCs w:val="20"/>
              </w:rPr>
            </w:pPr>
          </w:p>
        </w:tc>
      </w:tr>
    </w:tbl>
    <w:tbl>
      <w:tblPr>
        <w:tblStyle w:val="TableGrid2"/>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707A38" w:rsidRPr="00707A38" w:rsidTr="00BC1F2B">
        <w:trPr>
          <w:trHeight w:val="300"/>
        </w:trPr>
        <w:tc>
          <w:tcPr>
            <w:tcW w:w="8931" w:type="dxa"/>
            <w:noWrap/>
            <w:hideMark/>
          </w:tcPr>
          <w:p w:rsidR="00893675" w:rsidRDefault="00707A38" w:rsidP="00484780">
            <w:pPr>
              <w:jc w:val="both"/>
              <w:rPr>
                <w:rFonts w:ascii="Times New Roman" w:hAnsi="Times New Roman" w:cs="Times New Roman"/>
                <w:sz w:val="20"/>
                <w:szCs w:val="20"/>
              </w:rPr>
            </w:pPr>
            <w:r w:rsidRPr="00707A38">
              <w:rPr>
                <w:rFonts w:ascii="Times New Roman" w:hAnsi="Times New Roman" w:cs="Times New Roman"/>
                <w:sz w:val="20"/>
                <w:szCs w:val="20"/>
              </w:rPr>
              <w:t xml:space="preserve">Note </w:t>
            </w:r>
            <w:r w:rsidR="00484780" w:rsidRPr="00484780">
              <w:rPr>
                <w:rFonts w:ascii="Times New Roman" w:hAnsi="Times New Roman" w:cs="Times New Roman"/>
                <w:sz w:val="20"/>
                <w:szCs w:val="20"/>
              </w:rPr>
              <w:t xml:space="preserve">DEAP 2.1 is the author's calculation. VRSTE </w:t>
            </w:r>
            <w:r w:rsidR="009506F5">
              <w:rPr>
                <w:rFonts w:ascii="Times New Roman" w:hAnsi="Times New Roman" w:cs="Times New Roman"/>
                <w:sz w:val="20"/>
                <w:szCs w:val="20"/>
              </w:rPr>
              <w:t xml:space="preserve">= VRS DEA technical efficiency. </w:t>
            </w:r>
            <w:r w:rsidR="009506F5" w:rsidRPr="00484780">
              <w:rPr>
                <w:rFonts w:ascii="Times New Roman" w:hAnsi="Times New Roman" w:cs="Times New Roman"/>
                <w:sz w:val="20"/>
                <w:szCs w:val="20"/>
              </w:rPr>
              <w:t>CRSTE = CRS DEA technical efficiency</w:t>
            </w:r>
          </w:p>
          <w:p w:rsidR="00484780" w:rsidRPr="00484780" w:rsidRDefault="00484780" w:rsidP="00484780">
            <w:pPr>
              <w:jc w:val="both"/>
              <w:rPr>
                <w:rFonts w:ascii="Times New Roman" w:hAnsi="Times New Roman" w:cs="Times New Roman"/>
                <w:sz w:val="20"/>
                <w:szCs w:val="20"/>
              </w:rPr>
            </w:pPr>
            <w:r w:rsidRPr="00484780">
              <w:rPr>
                <w:rFonts w:ascii="Times New Roman" w:hAnsi="Times New Roman" w:cs="Times New Roman"/>
                <w:sz w:val="20"/>
                <w:szCs w:val="20"/>
              </w:rPr>
              <w:t>SCALE is an abbreviation for scale efficiency = crste/vrste</w:t>
            </w:r>
          </w:p>
          <w:p w:rsidR="00707A38" w:rsidRPr="00707A38" w:rsidRDefault="00484780" w:rsidP="00396BFF">
            <w:pPr>
              <w:jc w:val="both"/>
              <w:rPr>
                <w:rFonts w:ascii="Times New Roman" w:hAnsi="Times New Roman" w:cs="Times New Roman"/>
                <w:sz w:val="20"/>
                <w:szCs w:val="20"/>
              </w:rPr>
            </w:pPr>
            <w:r w:rsidRPr="00484780">
              <w:rPr>
                <w:rFonts w:ascii="Times New Roman" w:hAnsi="Times New Roman" w:cs="Times New Roman"/>
                <w:sz w:val="20"/>
                <w:szCs w:val="20"/>
              </w:rPr>
              <w:t>"returns to scale."</w:t>
            </w:r>
            <w:r w:rsidR="00274D5E">
              <w:rPr>
                <w:rFonts w:ascii="Times New Roman" w:hAnsi="Times New Roman" w:cs="Times New Roman"/>
                <w:sz w:val="20"/>
                <w:szCs w:val="20"/>
              </w:rPr>
              <w:t xml:space="preserve"> </w:t>
            </w:r>
            <w:r w:rsidR="00382A82">
              <w:rPr>
                <w:rFonts w:ascii="Times New Roman" w:hAnsi="Times New Roman" w:cs="Times New Roman"/>
                <w:sz w:val="20"/>
                <w:szCs w:val="20"/>
              </w:rPr>
              <w:t xml:space="preserve">The RTS explains as </w:t>
            </w:r>
            <w:r w:rsidR="00274D5E">
              <w:rPr>
                <w:rFonts w:ascii="Times New Roman" w:hAnsi="Times New Roman" w:cs="Times New Roman"/>
                <w:sz w:val="20"/>
                <w:szCs w:val="20"/>
              </w:rPr>
              <w:t>(1)</w:t>
            </w:r>
            <w:r w:rsidRPr="00484780">
              <w:rPr>
                <w:rFonts w:ascii="Times New Roman" w:hAnsi="Times New Roman" w:cs="Times New Roman"/>
                <w:sz w:val="20"/>
                <w:szCs w:val="20"/>
              </w:rPr>
              <w:t xml:space="preserve"> stands for </w:t>
            </w:r>
            <w:r w:rsidR="00274D5E">
              <w:rPr>
                <w:rFonts w:ascii="Times New Roman" w:hAnsi="Times New Roman" w:cs="Times New Roman"/>
                <w:sz w:val="20"/>
                <w:szCs w:val="20"/>
              </w:rPr>
              <w:t>increasing returns to scale,</w:t>
            </w:r>
            <w:r w:rsidR="00396BFF">
              <w:rPr>
                <w:rFonts w:ascii="Times New Roman" w:hAnsi="Times New Roman" w:cs="Times New Roman"/>
                <w:sz w:val="20"/>
                <w:szCs w:val="20"/>
              </w:rPr>
              <w:t xml:space="preserve"> '0</w:t>
            </w:r>
            <w:r w:rsidR="00396BFF" w:rsidRPr="00484780">
              <w:rPr>
                <w:rFonts w:ascii="Times New Roman" w:hAnsi="Times New Roman" w:cs="Times New Roman"/>
                <w:sz w:val="20"/>
                <w:szCs w:val="20"/>
              </w:rPr>
              <w:t>' stan</w:t>
            </w:r>
            <w:r w:rsidR="00396BFF">
              <w:rPr>
                <w:rFonts w:ascii="Times New Roman" w:hAnsi="Times New Roman" w:cs="Times New Roman"/>
                <w:sz w:val="20"/>
                <w:szCs w:val="20"/>
              </w:rPr>
              <w:t xml:space="preserve">ds for constant return to scale, and </w:t>
            </w:r>
            <w:r w:rsidR="00274D5E">
              <w:rPr>
                <w:rFonts w:ascii="Times New Roman" w:hAnsi="Times New Roman" w:cs="Times New Roman"/>
                <w:sz w:val="20"/>
                <w:szCs w:val="20"/>
              </w:rPr>
              <w:t>(-1)</w:t>
            </w:r>
            <w:r w:rsidRPr="00484780">
              <w:rPr>
                <w:rFonts w:ascii="Times New Roman" w:hAnsi="Times New Roman" w:cs="Times New Roman"/>
                <w:sz w:val="20"/>
                <w:szCs w:val="20"/>
              </w:rPr>
              <w:t xml:space="preserve"> stands for dec</w:t>
            </w:r>
            <w:r w:rsidR="00396BFF">
              <w:rPr>
                <w:rFonts w:ascii="Times New Roman" w:hAnsi="Times New Roman" w:cs="Times New Roman"/>
                <w:sz w:val="20"/>
                <w:szCs w:val="20"/>
              </w:rPr>
              <w:t xml:space="preserve">reasing returns to scale, </w:t>
            </w:r>
          </w:p>
        </w:tc>
      </w:tr>
    </w:tbl>
    <w:p w:rsidR="007C4A09" w:rsidRDefault="007C4A09" w:rsidP="00707A38">
      <w:pPr>
        <w:spacing w:line="480" w:lineRule="auto"/>
        <w:jc w:val="both"/>
        <w:rPr>
          <w:rFonts w:ascii="Times New Roman" w:hAnsi="Times New Roman" w:cs="Times New Roman"/>
          <w:sz w:val="24"/>
          <w:szCs w:val="24"/>
        </w:rPr>
      </w:pPr>
    </w:p>
    <w:p w:rsidR="007C4A09" w:rsidRDefault="007C4A09"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The peer summary explains the efficient firms among their peers (Table 7).</w:t>
      </w:r>
      <w:r w:rsidR="00037030">
        <w:rPr>
          <w:rFonts w:ascii="Times New Roman" w:hAnsi="Times New Roman" w:cs="Times New Roman"/>
          <w:sz w:val="24"/>
          <w:szCs w:val="24"/>
        </w:rPr>
        <w:t xml:space="preserve"> The financial effic</w:t>
      </w:r>
      <w:r w:rsidR="00F54CED">
        <w:rPr>
          <w:rFonts w:ascii="Times New Roman" w:hAnsi="Times New Roman" w:cs="Times New Roman"/>
          <w:sz w:val="24"/>
          <w:szCs w:val="24"/>
        </w:rPr>
        <w:t>i</w:t>
      </w:r>
      <w:r w:rsidR="00037030">
        <w:rPr>
          <w:rFonts w:ascii="Times New Roman" w:hAnsi="Times New Roman" w:cs="Times New Roman"/>
          <w:sz w:val="24"/>
          <w:szCs w:val="24"/>
        </w:rPr>
        <w:t>ency mod</w:t>
      </w:r>
      <w:r w:rsidR="003D0C53">
        <w:rPr>
          <w:rFonts w:ascii="Times New Roman" w:hAnsi="Times New Roman" w:cs="Times New Roman"/>
          <w:sz w:val="24"/>
          <w:szCs w:val="24"/>
        </w:rPr>
        <w:t xml:space="preserve">els present </w:t>
      </w:r>
      <w:r w:rsidR="00037030">
        <w:rPr>
          <w:rFonts w:ascii="Times New Roman" w:hAnsi="Times New Roman" w:cs="Times New Roman"/>
          <w:sz w:val="24"/>
          <w:szCs w:val="24"/>
        </w:rPr>
        <w:t>MFI 10 as the most efficient</w:t>
      </w:r>
      <w:r w:rsidR="00884629">
        <w:rPr>
          <w:rFonts w:ascii="Times New Roman" w:hAnsi="Times New Roman" w:cs="Times New Roman"/>
          <w:sz w:val="24"/>
          <w:szCs w:val="24"/>
        </w:rPr>
        <w:t>, and the second m</w:t>
      </w:r>
      <w:r w:rsidR="003D0C53">
        <w:rPr>
          <w:rFonts w:ascii="Times New Roman" w:hAnsi="Times New Roman" w:cs="Times New Roman"/>
          <w:sz w:val="24"/>
          <w:szCs w:val="24"/>
        </w:rPr>
        <w:t xml:space="preserve">ost efficient is the </w:t>
      </w:r>
      <w:r w:rsidR="00884629">
        <w:rPr>
          <w:rFonts w:ascii="Times New Roman" w:hAnsi="Times New Roman" w:cs="Times New Roman"/>
          <w:sz w:val="24"/>
          <w:szCs w:val="24"/>
        </w:rPr>
        <w:t>MFI 6</w:t>
      </w:r>
      <w:r w:rsidR="00037030">
        <w:rPr>
          <w:rFonts w:ascii="Times New Roman" w:hAnsi="Times New Roman" w:cs="Times New Roman"/>
          <w:sz w:val="24"/>
          <w:szCs w:val="24"/>
        </w:rPr>
        <w:t>.</w:t>
      </w:r>
      <w:r>
        <w:rPr>
          <w:rFonts w:ascii="Times New Roman" w:hAnsi="Times New Roman" w:cs="Times New Roman"/>
          <w:sz w:val="24"/>
          <w:szCs w:val="24"/>
        </w:rPr>
        <w:t xml:space="preserve"> </w:t>
      </w:r>
      <w:r w:rsidR="00884629">
        <w:rPr>
          <w:rFonts w:ascii="Times New Roman" w:hAnsi="Times New Roman" w:cs="Times New Roman"/>
          <w:sz w:val="24"/>
          <w:szCs w:val="24"/>
        </w:rPr>
        <w:t>The</w:t>
      </w:r>
      <w:r w:rsidR="00037030">
        <w:rPr>
          <w:rFonts w:ascii="Times New Roman" w:hAnsi="Times New Roman" w:cs="Times New Roman"/>
          <w:sz w:val="24"/>
          <w:szCs w:val="24"/>
        </w:rPr>
        <w:t xml:space="preserve"> social efficiency model shows MFI 6 </w:t>
      </w:r>
      <w:r w:rsidR="00884629">
        <w:rPr>
          <w:rFonts w:ascii="Times New Roman" w:hAnsi="Times New Roman" w:cs="Times New Roman"/>
          <w:sz w:val="24"/>
          <w:szCs w:val="24"/>
        </w:rPr>
        <w:t xml:space="preserve">as the most efficient. </w:t>
      </w:r>
    </w:p>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Table 7 Peer Summary </w:t>
      </w:r>
    </w:p>
    <w:tbl>
      <w:tblPr>
        <w:tblStyle w:val="TableGrid2"/>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4507"/>
        <w:gridCol w:w="2666"/>
      </w:tblGrid>
      <w:tr w:rsidR="00707A38" w:rsidRPr="00707A38" w:rsidTr="003D0C53">
        <w:trPr>
          <w:trHeight w:val="302"/>
        </w:trPr>
        <w:tc>
          <w:tcPr>
            <w:tcW w:w="1882" w:type="dxa"/>
            <w:tcBorders>
              <w:top w:val="single" w:sz="4" w:space="0" w:color="auto"/>
              <w:bottom w:val="single" w:sz="4" w:space="0" w:color="auto"/>
            </w:tcBorders>
            <w:noWrap/>
            <w:hideMark/>
          </w:tcPr>
          <w:p w:rsidR="00707A38" w:rsidRPr="00707A38" w:rsidRDefault="00707A38" w:rsidP="00FE1FF1">
            <w:pPr>
              <w:ind w:right="795"/>
              <w:jc w:val="both"/>
              <w:rPr>
                <w:rFonts w:ascii="Times New Roman" w:hAnsi="Times New Roman" w:cs="Times New Roman"/>
                <w:sz w:val="20"/>
                <w:szCs w:val="20"/>
              </w:rPr>
            </w:pPr>
            <w:r w:rsidRPr="00707A38">
              <w:rPr>
                <w:rFonts w:ascii="Times New Roman" w:hAnsi="Times New Roman" w:cs="Times New Roman"/>
                <w:sz w:val="20"/>
                <w:szCs w:val="20"/>
              </w:rPr>
              <w:t>Firm</w:t>
            </w:r>
          </w:p>
        </w:tc>
        <w:tc>
          <w:tcPr>
            <w:tcW w:w="4507" w:type="dxa"/>
            <w:tcBorders>
              <w:top w:val="single" w:sz="4" w:space="0" w:color="auto"/>
              <w:bottom w:val="single" w:sz="4" w:space="0" w:color="auto"/>
            </w:tcBorders>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Peers (FE)</w:t>
            </w:r>
          </w:p>
        </w:tc>
        <w:tc>
          <w:tcPr>
            <w:tcW w:w="2666" w:type="dxa"/>
            <w:tcBorders>
              <w:top w:val="single" w:sz="4" w:space="0" w:color="auto"/>
              <w:bottom w:val="single" w:sz="4" w:space="0" w:color="auto"/>
            </w:tcBorders>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Peers(SE)</w:t>
            </w:r>
          </w:p>
        </w:tc>
      </w:tr>
      <w:tr w:rsidR="00707A38" w:rsidRPr="00707A38" w:rsidTr="003D0C53">
        <w:trPr>
          <w:trHeight w:val="302"/>
        </w:trPr>
        <w:tc>
          <w:tcPr>
            <w:tcW w:w="1882" w:type="dxa"/>
            <w:tcBorders>
              <w:top w:val="single" w:sz="4" w:space="0" w:color="auto"/>
            </w:tcBorders>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w:t>
            </w:r>
          </w:p>
        </w:tc>
        <w:tc>
          <w:tcPr>
            <w:tcW w:w="4507" w:type="dxa"/>
            <w:tcBorders>
              <w:top w:val="single" w:sz="4" w:space="0" w:color="auto"/>
            </w:tcBorders>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w:t>
            </w:r>
          </w:p>
        </w:tc>
        <w:tc>
          <w:tcPr>
            <w:tcW w:w="2666" w:type="dxa"/>
            <w:tcBorders>
              <w:top w:val="single" w:sz="4" w:space="0" w:color="auto"/>
            </w:tcBorders>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MFI1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MF12 MF1</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MG12</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MF3</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MF3</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M15 MG12</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MF4</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MF21 MF10 MF12 MF15</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MG6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MF5</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MF10 MF12 MF21 MF15</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MG6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MF6 </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MF7</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MF10 MF12 MF22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MF8</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MF22 MF10 MF15</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MF9</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MF10 MF15 MF22 MF12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MF1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MF10</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MF10</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MG11</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MF19 MF10 MF1 MF6</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MF12</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MF19</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MF12</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MF13</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MF19 MF15 MF12 MF15 MF10</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MF1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MF14</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MF19 MF21 MF10 MF12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MF16</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MF10 MF17 MF15 MF19</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MF17</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MF17</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MF18</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MF10 MF15 MF22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MF12 MF15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MF19</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MF19</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MF20</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MF10 MF1</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MF21</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MF21</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MF6 MF1</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MF22</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MF12 MF15</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MF23</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MF15 MF22 MF10 MF12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MF6 MF1 MF15 MF12</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MF24</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MF19 MF1 MF25 MF10 MF12</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MF15 MF6</w:t>
            </w:r>
          </w:p>
        </w:tc>
      </w:tr>
      <w:tr w:rsidR="00707A38" w:rsidRPr="00707A38" w:rsidTr="003D0C53">
        <w:trPr>
          <w:trHeight w:val="302"/>
        </w:trPr>
        <w:tc>
          <w:tcPr>
            <w:tcW w:w="1882"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MF25</w:t>
            </w:r>
          </w:p>
        </w:tc>
        <w:tc>
          <w:tcPr>
            <w:tcW w:w="4507"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MF25</w:t>
            </w:r>
          </w:p>
        </w:tc>
        <w:tc>
          <w:tcPr>
            <w:tcW w:w="2666" w:type="dxa"/>
            <w:noWrap/>
            <w:hideMark/>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MF1 MF6</w:t>
            </w:r>
          </w:p>
        </w:tc>
      </w:tr>
    </w:tbl>
    <w:p w:rsidR="00724A23" w:rsidRDefault="00707A38" w:rsidP="003D0C53">
      <w:pPr>
        <w:pBdr>
          <w:bottom w:val="single" w:sz="4" w:space="1" w:color="auto"/>
        </w:pBd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Note </w:t>
      </w:r>
      <w:r w:rsidR="00FC1706" w:rsidRPr="00FC1706">
        <w:rPr>
          <w:rFonts w:ascii="Times New Roman" w:hAnsi="Times New Roman" w:cs="Times New Roman"/>
          <w:sz w:val="20"/>
          <w:szCs w:val="20"/>
        </w:rPr>
        <w:t xml:space="preserve">The authors' calculations are based on DEAP 2.1. </w:t>
      </w:r>
      <w:r w:rsidR="00F54CED">
        <w:rPr>
          <w:rFonts w:ascii="Times New Roman" w:hAnsi="Times New Roman" w:cs="Times New Roman"/>
          <w:sz w:val="20"/>
          <w:szCs w:val="20"/>
        </w:rPr>
        <w:t>Annexure 1 has the names</w:t>
      </w:r>
      <w:r w:rsidR="00024CA7">
        <w:rPr>
          <w:rFonts w:ascii="Times New Roman" w:hAnsi="Times New Roman" w:cs="Times New Roman"/>
          <w:sz w:val="20"/>
          <w:szCs w:val="20"/>
        </w:rPr>
        <w:t xml:space="preserve"> NBFC-MFI names</w:t>
      </w:r>
      <w:r w:rsidR="00F54CED">
        <w:rPr>
          <w:rFonts w:ascii="Times New Roman" w:hAnsi="Times New Roman" w:cs="Times New Roman"/>
          <w:sz w:val="20"/>
          <w:szCs w:val="20"/>
        </w:rPr>
        <w:t>.</w:t>
      </w:r>
    </w:p>
    <w:p w:rsidR="00707A38" w:rsidRPr="00707A38" w:rsidRDefault="00707A38" w:rsidP="00FC1706">
      <w:pPr>
        <w:spacing w:line="240" w:lineRule="auto"/>
        <w:jc w:val="both"/>
        <w:rPr>
          <w:rFonts w:ascii="Times New Roman" w:hAnsi="Times New Roman" w:cs="Times New Roman"/>
          <w:b/>
          <w:sz w:val="24"/>
          <w:szCs w:val="24"/>
        </w:rPr>
      </w:pPr>
      <w:r w:rsidRPr="00707A38">
        <w:rPr>
          <w:rFonts w:ascii="Times New Roman" w:hAnsi="Times New Roman" w:cs="Times New Roman"/>
          <w:b/>
          <w:sz w:val="24"/>
          <w:szCs w:val="24"/>
        </w:rPr>
        <w:t xml:space="preserve">4.3 </w:t>
      </w:r>
      <w:r w:rsidR="001C77C1">
        <w:rPr>
          <w:rFonts w:ascii="Times New Roman" w:hAnsi="Times New Roman" w:cs="Times New Roman"/>
          <w:b/>
          <w:sz w:val="24"/>
          <w:szCs w:val="24"/>
        </w:rPr>
        <w:t>Panel</w:t>
      </w:r>
      <w:r w:rsidRPr="00707A38">
        <w:rPr>
          <w:rFonts w:ascii="Times New Roman" w:hAnsi="Times New Roman" w:cs="Times New Roman"/>
          <w:b/>
          <w:sz w:val="24"/>
          <w:szCs w:val="24"/>
        </w:rPr>
        <w:t xml:space="preserve"> regression results </w:t>
      </w:r>
    </w:p>
    <w:p w:rsidR="00B14D3E" w:rsidRDefault="003D0C53" w:rsidP="00FF7B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empirical results present an association between efficiency and VD. The descriptive statistics are in table 8. Panel regression results are shown in </w:t>
      </w:r>
      <w:r w:rsidR="00977FD4">
        <w:rPr>
          <w:rFonts w:ascii="Times New Roman" w:hAnsi="Times New Roman" w:cs="Times New Roman"/>
          <w:sz w:val="24"/>
          <w:szCs w:val="24"/>
        </w:rPr>
        <w:t>T</w:t>
      </w:r>
      <w:r>
        <w:rPr>
          <w:rFonts w:ascii="Times New Roman" w:hAnsi="Times New Roman" w:cs="Times New Roman"/>
          <w:sz w:val="24"/>
          <w:szCs w:val="24"/>
        </w:rPr>
        <w:t xml:space="preserve">able 9. The findings of the DEA are efficiency scores which are the independent variables and regressed for the outcome variable LOGVD (equation 3). The other variables used are size, profitability, age, and gross loan portfolio of the firm. </w:t>
      </w:r>
    </w:p>
    <w:p w:rsidR="00707A38" w:rsidRPr="00707A38" w:rsidRDefault="00707A38" w:rsidP="00707A38">
      <w:pP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Table 8 </w:t>
      </w:r>
      <w:r w:rsidR="00A02A30">
        <w:rPr>
          <w:rFonts w:ascii="Times New Roman" w:hAnsi="Times New Roman" w:cs="Times New Roman"/>
          <w:sz w:val="20"/>
          <w:szCs w:val="20"/>
        </w:rPr>
        <w:t>Pane</w:t>
      </w:r>
      <w:r w:rsidR="00624F38">
        <w:rPr>
          <w:rFonts w:ascii="Times New Roman" w:hAnsi="Times New Roman" w:cs="Times New Roman"/>
          <w:sz w:val="20"/>
          <w:szCs w:val="20"/>
        </w:rPr>
        <w:t>l Regression</w:t>
      </w:r>
      <w:r w:rsidR="00145CFD">
        <w:rPr>
          <w:rFonts w:ascii="Times New Roman" w:hAnsi="Times New Roman" w:cs="Times New Roman"/>
          <w:sz w:val="20"/>
          <w:szCs w:val="20"/>
        </w:rPr>
        <w:t xml:space="preserve">: </w:t>
      </w:r>
      <w:r w:rsidRPr="00707A38">
        <w:rPr>
          <w:rFonts w:ascii="Times New Roman" w:hAnsi="Times New Roman" w:cs="Times New Roman"/>
          <w:sz w:val="20"/>
          <w:szCs w:val="20"/>
        </w:rPr>
        <w:t>Descriptive statistics</w:t>
      </w:r>
    </w:p>
    <w:tbl>
      <w:tblPr>
        <w:tblStyle w:val="TableGrid"/>
        <w:tblW w:w="90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192"/>
        <w:gridCol w:w="1326"/>
        <w:gridCol w:w="1327"/>
        <w:gridCol w:w="1327"/>
        <w:gridCol w:w="1327"/>
      </w:tblGrid>
      <w:tr w:rsidR="00707A38" w:rsidRPr="00707A38" w:rsidTr="00BC1F2B">
        <w:tc>
          <w:tcPr>
            <w:tcW w:w="1782"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Variable </w:t>
            </w:r>
          </w:p>
        </w:tc>
        <w:tc>
          <w:tcPr>
            <w:tcW w:w="1422"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Obs</w:t>
            </w:r>
          </w:p>
        </w:tc>
        <w:tc>
          <w:tcPr>
            <w:tcW w:w="1453"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Min</w:t>
            </w:r>
          </w:p>
        </w:tc>
        <w:tc>
          <w:tcPr>
            <w:tcW w:w="1453"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Max</w:t>
            </w:r>
          </w:p>
        </w:tc>
        <w:tc>
          <w:tcPr>
            <w:tcW w:w="1453"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Mean</w:t>
            </w:r>
          </w:p>
        </w:tc>
        <w:tc>
          <w:tcPr>
            <w:tcW w:w="1453" w:type="dxa"/>
            <w:tcBorders>
              <w:top w:val="single" w:sz="4" w:space="0" w:color="auto"/>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Std. Dev</w:t>
            </w:r>
          </w:p>
        </w:tc>
      </w:tr>
      <w:tr w:rsidR="00707A38" w:rsidRPr="00707A38" w:rsidTr="00BC1F2B">
        <w:tc>
          <w:tcPr>
            <w:tcW w:w="1782" w:type="dxa"/>
            <w:tcBorders>
              <w:top w:val="single" w:sz="4" w:space="0" w:color="auto"/>
            </w:tcBorders>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LOGVD</w:t>
            </w:r>
          </w:p>
        </w:tc>
        <w:tc>
          <w:tcPr>
            <w:tcW w:w="1422" w:type="dxa"/>
            <w:tcBorders>
              <w:top w:val="single" w:sz="4" w:space="0" w:color="auto"/>
            </w:tcBorders>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tcBorders>
              <w:top w:val="single" w:sz="4" w:space="0" w:color="auto"/>
            </w:tcBorders>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1.673976</w:t>
            </w:r>
          </w:p>
        </w:tc>
        <w:tc>
          <w:tcPr>
            <w:tcW w:w="1453" w:type="dxa"/>
            <w:tcBorders>
              <w:top w:val="single" w:sz="4" w:space="0" w:color="auto"/>
            </w:tcBorders>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4.414816</w:t>
            </w:r>
          </w:p>
        </w:tc>
        <w:tc>
          <w:tcPr>
            <w:tcW w:w="1453" w:type="dxa"/>
            <w:tcBorders>
              <w:top w:val="single" w:sz="4" w:space="0" w:color="auto"/>
            </w:tcBorders>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3.759172</w:t>
            </w:r>
          </w:p>
        </w:tc>
        <w:tc>
          <w:tcPr>
            <w:tcW w:w="1453" w:type="dxa"/>
            <w:tcBorders>
              <w:top w:val="single" w:sz="4" w:space="0" w:color="auto"/>
            </w:tcBorders>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.461505</w:t>
            </w:r>
          </w:p>
        </w:tc>
      </w:tr>
      <w:tr w:rsidR="00707A38" w:rsidRPr="00707A38" w:rsidTr="00BC1F2B">
        <w:tc>
          <w:tcPr>
            <w:tcW w:w="178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FECRS</w:t>
            </w:r>
          </w:p>
        </w:tc>
        <w:tc>
          <w:tcPr>
            <w:tcW w:w="142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.539</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.887808</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.1032881</w:t>
            </w:r>
          </w:p>
        </w:tc>
      </w:tr>
      <w:tr w:rsidR="00707A38" w:rsidRPr="00707A38" w:rsidTr="00BC1F2B">
        <w:tc>
          <w:tcPr>
            <w:tcW w:w="178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SECRS</w:t>
            </w:r>
          </w:p>
        </w:tc>
        <w:tc>
          <w:tcPr>
            <w:tcW w:w="142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.005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.42192</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.2765104</w:t>
            </w:r>
          </w:p>
        </w:tc>
      </w:tr>
      <w:tr w:rsidR="00707A38" w:rsidRPr="00707A38" w:rsidTr="00BC1F2B">
        <w:tc>
          <w:tcPr>
            <w:tcW w:w="178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Size</w:t>
            </w:r>
          </w:p>
        </w:tc>
        <w:tc>
          <w:tcPr>
            <w:tcW w:w="142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3.970292</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9684.4</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85.67452</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865.4614</w:t>
            </w:r>
          </w:p>
        </w:tc>
      </w:tr>
      <w:tr w:rsidR="00707A38" w:rsidRPr="00707A38" w:rsidTr="00BC1F2B">
        <w:tc>
          <w:tcPr>
            <w:tcW w:w="178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PROFITABILITY</w:t>
            </w:r>
          </w:p>
        </w:tc>
        <w:tc>
          <w:tcPr>
            <w:tcW w:w="142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-.1598415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.1156683</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.0180497</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.0328043</w:t>
            </w:r>
          </w:p>
        </w:tc>
      </w:tr>
      <w:tr w:rsidR="00707A38" w:rsidRPr="00707A38" w:rsidTr="00BC1F2B">
        <w:tc>
          <w:tcPr>
            <w:tcW w:w="178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Age</w:t>
            </w:r>
          </w:p>
        </w:tc>
        <w:tc>
          <w:tcPr>
            <w:tcW w:w="142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.039</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187.8736</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7.140548</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17.98508</w:t>
            </w:r>
          </w:p>
        </w:tc>
      </w:tr>
      <w:tr w:rsidR="00707A38" w:rsidRPr="00707A38" w:rsidTr="00BC1F2B">
        <w:tc>
          <w:tcPr>
            <w:tcW w:w="178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GROSSLOANPORTFOLIO</w:t>
            </w:r>
          </w:p>
        </w:tc>
        <w:tc>
          <w:tcPr>
            <w:tcW w:w="1422"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.84725</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173940</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11695.86</w:t>
            </w:r>
          </w:p>
        </w:tc>
        <w:tc>
          <w:tcPr>
            <w:tcW w:w="1453" w:type="dxa"/>
            <w:vAlign w:val="center"/>
          </w:tcPr>
          <w:p w:rsidR="00707A38" w:rsidRPr="00707A38" w:rsidRDefault="00707A38" w:rsidP="00707A38">
            <w:pPr>
              <w:jc w:val="both"/>
              <w:rPr>
                <w:rFonts w:ascii="Times New Roman" w:eastAsia="Times New Roman" w:hAnsi="Times New Roman" w:cs="Times New Roman"/>
                <w:sz w:val="20"/>
                <w:szCs w:val="20"/>
                <w:lang w:eastAsia="en-IN"/>
              </w:rPr>
            </w:pPr>
            <w:r w:rsidRPr="00707A38">
              <w:rPr>
                <w:rFonts w:ascii="Times New Roman" w:eastAsia="Times New Roman" w:hAnsi="Times New Roman" w:cs="Times New Roman"/>
                <w:sz w:val="20"/>
                <w:szCs w:val="20"/>
                <w:lang w:eastAsia="en-IN"/>
              </w:rPr>
              <w:t>23408.82</w:t>
            </w:r>
          </w:p>
        </w:tc>
      </w:tr>
    </w:tbl>
    <w:p w:rsidR="00707A38" w:rsidRDefault="00707A38" w:rsidP="00624F38">
      <w:pPr>
        <w:pBdr>
          <w:bottom w:val="single" w:sz="4" w:space="1" w:color="auto"/>
        </w:pBdr>
        <w:spacing w:line="240" w:lineRule="auto"/>
        <w:jc w:val="both"/>
        <w:rPr>
          <w:rFonts w:ascii="Times New Roman" w:hAnsi="Times New Roman" w:cs="Times New Roman"/>
          <w:sz w:val="20"/>
          <w:szCs w:val="20"/>
        </w:rPr>
      </w:pPr>
      <w:r w:rsidRPr="00707A38">
        <w:rPr>
          <w:rFonts w:ascii="Times New Roman" w:hAnsi="Times New Roman" w:cs="Times New Roman"/>
          <w:sz w:val="20"/>
          <w:szCs w:val="20"/>
        </w:rPr>
        <w:t xml:space="preserve">Note </w:t>
      </w:r>
      <w:r w:rsidR="00624F38">
        <w:rPr>
          <w:rFonts w:ascii="Times New Roman" w:hAnsi="Times New Roman" w:cs="Times New Roman"/>
          <w:sz w:val="20"/>
          <w:szCs w:val="20"/>
        </w:rPr>
        <w:t>D</w:t>
      </w:r>
      <w:r w:rsidR="00797239" w:rsidRPr="00797239">
        <w:rPr>
          <w:rFonts w:ascii="Times New Roman" w:hAnsi="Times New Roman" w:cs="Times New Roman"/>
          <w:sz w:val="20"/>
          <w:szCs w:val="20"/>
        </w:rPr>
        <w:t>escriptive statistics for the variables used in the panel estimate</w:t>
      </w:r>
      <w:r w:rsidR="00624F38">
        <w:rPr>
          <w:rFonts w:ascii="Times New Roman" w:hAnsi="Times New Roman" w:cs="Times New Roman"/>
          <w:sz w:val="20"/>
          <w:szCs w:val="20"/>
        </w:rPr>
        <w:t xml:space="preserve"> are mentioned in the table</w:t>
      </w:r>
      <w:r w:rsidR="00797239" w:rsidRPr="00797239">
        <w:rPr>
          <w:rFonts w:ascii="Times New Roman" w:hAnsi="Times New Roman" w:cs="Times New Roman"/>
          <w:sz w:val="20"/>
          <w:szCs w:val="20"/>
        </w:rPr>
        <w:t>.</w:t>
      </w:r>
    </w:p>
    <w:p w:rsidR="00797239" w:rsidRPr="00707A38" w:rsidRDefault="00797239" w:rsidP="00707A38">
      <w:pPr>
        <w:spacing w:line="240" w:lineRule="auto"/>
        <w:jc w:val="both"/>
        <w:rPr>
          <w:rFonts w:ascii="Times New Roman" w:hAnsi="Times New Roman" w:cs="Times New Roman"/>
          <w:sz w:val="20"/>
          <w:szCs w:val="20"/>
        </w:rPr>
      </w:pPr>
    </w:p>
    <w:p w:rsidR="00B500F5" w:rsidRPr="00707A38" w:rsidRDefault="00680ABF" w:rsidP="00B500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likelihood test and Breusch Pagan LM </w:t>
      </w:r>
      <w:r w:rsidR="00B500F5" w:rsidRPr="00B500F5">
        <w:rPr>
          <w:rFonts w:ascii="Times New Roman" w:hAnsi="Times New Roman" w:cs="Times New Roman"/>
          <w:sz w:val="24"/>
          <w:szCs w:val="24"/>
        </w:rPr>
        <w:t xml:space="preserve"> </w:t>
      </w:r>
      <w:r>
        <w:rPr>
          <w:rFonts w:ascii="Times New Roman" w:hAnsi="Times New Roman" w:cs="Times New Roman"/>
          <w:sz w:val="24"/>
          <w:szCs w:val="24"/>
        </w:rPr>
        <w:t>assists in the applicability of fixed and random effect</w:t>
      </w:r>
      <w:r w:rsidR="00524464">
        <w:rPr>
          <w:rFonts w:ascii="Times New Roman" w:hAnsi="Times New Roman" w:cs="Times New Roman"/>
          <w:sz w:val="24"/>
          <w:szCs w:val="24"/>
        </w:rPr>
        <w:t>.</w:t>
      </w:r>
      <w:r w:rsidR="00B500F5" w:rsidRPr="00B500F5">
        <w:rPr>
          <w:rFonts w:ascii="Times New Roman" w:hAnsi="Times New Roman" w:cs="Times New Roman"/>
          <w:sz w:val="24"/>
          <w:szCs w:val="24"/>
        </w:rPr>
        <w:t xml:space="preserve"> </w:t>
      </w:r>
      <w:r>
        <w:rPr>
          <w:rFonts w:ascii="Times New Roman" w:hAnsi="Times New Roman" w:cs="Times New Roman"/>
          <w:sz w:val="24"/>
          <w:szCs w:val="24"/>
        </w:rPr>
        <w:t>Hausman test</w:t>
      </w:r>
      <w:r w:rsidR="00B500F5" w:rsidRPr="00B500F5">
        <w:rPr>
          <w:rFonts w:ascii="Times New Roman" w:hAnsi="Times New Roman" w:cs="Times New Roman"/>
          <w:sz w:val="24"/>
          <w:szCs w:val="24"/>
        </w:rPr>
        <w:t xml:space="preserve"> </w:t>
      </w:r>
      <w:r>
        <w:rPr>
          <w:rFonts w:ascii="Times New Roman" w:hAnsi="Times New Roman" w:cs="Times New Roman"/>
          <w:sz w:val="24"/>
          <w:szCs w:val="24"/>
        </w:rPr>
        <w:t>indicates</w:t>
      </w:r>
      <w:r w:rsidR="00B500F5" w:rsidRPr="00B500F5">
        <w:rPr>
          <w:rFonts w:ascii="Times New Roman" w:hAnsi="Times New Roman" w:cs="Times New Roman"/>
          <w:sz w:val="24"/>
          <w:szCs w:val="24"/>
        </w:rPr>
        <w:t xml:space="preserve"> the presence of a</w:t>
      </w:r>
      <w:r>
        <w:rPr>
          <w:rFonts w:ascii="Times New Roman" w:hAnsi="Times New Roman" w:cs="Times New Roman"/>
          <w:sz w:val="24"/>
          <w:szCs w:val="24"/>
        </w:rPr>
        <w:t xml:space="preserve"> random effect regression model</w:t>
      </w:r>
      <w:r w:rsidR="00B500F5" w:rsidRPr="00B500F5">
        <w:rPr>
          <w:rFonts w:ascii="Times New Roman" w:hAnsi="Times New Roman" w:cs="Times New Roman"/>
          <w:sz w:val="24"/>
          <w:szCs w:val="24"/>
        </w:rPr>
        <w:t>. The Wooldridge test is used to determine</w:t>
      </w:r>
      <w:r w:rsidR="00187994">
        <w:rPr>
          <w:rFonts w:ascii="Times New Roman" w:hAnsi="Times New Roman" w:cs="Times New Roman"/>
          <w:sz w:val="24"/>
          <w:szCs w:val="24"/>
        </w:rPr>
        <w:t xml:space="preserve"> </w:t>
      </w:r>
      <w:r w:rsidR="00524464">
        <w:rPr>
          <w:rFonts w:ascii="Times New Roman" w:hAnsi="Times New Roman" w:cs="Times New Roman"/>
          <w:sz w:val="24"/>
          <w:szCs w:val="24"/>
        </w:rPr>
        <w:t xml:space="preserve">the </w:t>
      </w:r>
      <w:r w:rsidR="00187994">
        <w:rPr>
          <w:rFonts w:ascii="Times New Roman" w:hAnsi="Times New Roman" w:cs="Times New Roman"/>
          <w:sz w:val="24"/>
          <w:szCs w:val="24"/>
        </w:rPr>
        <w:t>absence of serial correlation</w:t>
      </w:r>
      <w:r w:rsidR="00B500F5" w:rsidRPr="00B500F5">
        <w:rPr>
          <w:rFonts w:ascii="Times New Roman" w:hAnsi="Times New Roman" w:cs="Times New Roman"/>
          <w:sz w:val="24"/>
          <w:szCs w:val="24"/>
        </w:rPr>
        <w:t xml:space="preserve">. </w:t>
      </w:r>
      <w:r w:rsidR="00187994">
        <w:rPr>
          <w:rFonts w:ascii="Times New Roman" w:hAnsi="Times New Roman" w:cs="Times New Roman"/>
          <w:sz w:val="24"/>
          <w:szCs w:val="24"/>
        </w:rPr>
        <w:t xml:space="preserve">Due to the presence of </w:t>
      </w:r>
      <w:r w:rsidR="00B500F5" w:rsidRPr="00B500F5">
        <w:rPr>
          <w:rFonts w:ascii="Times New Roman" w:hAnsi="Times New Roman" w:cs="Times New Roman"/>
          <w:sz w:val="24"/>
          <w:szCs w:val="24"/>
        </w:rPr>
        <w:t>heteroscedasticity</w:t>
      </w:r>
      <w:r w:rsidR="00187994">
        <w:rPr>
          <w:rFonts w:ascii="Times New Roman" w:hAnsi="Times New Roman" w:cs="Times New Roman"/>
          <w:sz w:val="24"/>
          <w:szCs w:val="24"/>
        </w:rPr>
        <w:t>,</w:t>
      </w:r>
      <w:r w:rsidR="00B500F5" w:rsidRPr="00B500F5">
        <w:rPr>
          <w:rFonts w:ascii="Times New Roman" w:hAnsi="Times New Roman" w:cs="Times New Roman"/>
          <w:sz w:val="24"/>
          <w:szCs w:val="24"/>
        </w:rPr>
        <w:t xml:space="preserve"> the study reports robust Random Effect results </w:t>
      </w:r>
      <w:r w:rsidR="008C4038" w:rsidRPr="008C4038">
        <w:rPr>
          <w:rFonts w:ascii="Times New Roman" w:hAnsi="Times New Roman" w:cs="Times New Roman"/>
          <w:sz w:val="24"/>
          <w:szCs w:val="24"/>
        </w:rPr>
        <w:t xml:space="preserve"> (Wooldridge, 2010; Drukker, 2003)</w:t>
      </w:r>
      <w:r w:rsidR="00B500F5" w:rsidRPr="00B500F5">
        <w:rPr>
          <w:rFonts w:ascii="Times New Roman" w:hAnsi="Times New Roman" w:cs="Times New Roman"/>
          <w:sz w:val="24"/>
          <w:szCs w:val="24"/>
        </w:rPr>
        <w:t>.</w:t>
      </w:r>
    </w:p>
    <w:p w:rsidR="00707A38" w:rsidRPr="00707A38" w:rsidRDefault="00707A38" w:rsidP="00707A38">
      <w:pPr>
        <w:spacing w:line="480" w:lineRule="auto"/>
        <w:jc w:val="both"/>
        <w:rPr>
          <w:rFonts w:ascii="Times New Roman" w:hAnsi="Times New Roman" w:cs="Times New Roman"/>
          <w:sz w:val="24"/>
          <w:szCs w:val="24"/>
        </w:rPr>
      </w:pPr>
      <w:r w:rsidRPr="00707A38">
        <w:rPr>
          <w:rFonts w:ascii="Times New Roman" w:hAnsi="Times New Roman" w:cs="Times New Roman"/>
          <w:sz w:val="24"/>
          <w:szCs w:val="24"/>
        </w:rPr>
        <w:t xml:space="preserve">The signs in table 14 indicate the significant negative association of the FECRS and SECRS with the level of voluntary disclosures. The model also suggests that SIZE, PROFITABILITY, and GROSS LOAN PORTFOLIO are positively associated with the LOGVD. The age comes out to be significant and negatively associated with LOGVD. </w:t>
      </w:r>
    </w:p>
    <w:p w:rsidR="00707A38" w:rsidRPr="00707A38" w:rsidRDefault="00707A38" w:rsidP="00707A38">
      <w:pPr>
        <w:spacing w:line="240" w:lineRule="auto"/>
        <w:jc w:val="both"/>
        <w:rPr>
          <w:rFonts w:ascii="Times New Roman" w:eastAsiaTheme="minorEastAsia" w:hAnsi="Times New Roman" w:cs="Times New Roman"/>
          <w:sz w:val="20"/>
          <w:szCs w:val="20"/>
        </w:rPr>
      </w:pPr>
      <w:r w:rsidRPr="00707A38">
        <w:rPr>
          <w:rFonts w:ascii="Times New Roman" w:eastAsiaTheme="minorEastAsia" w:hAnsi="Times New Roman" w:cs="Times New Roman"/>
          <w:sz w:val="20"/>
          <w:szCs w:val="20"/>
        </w:rPr>
        <w:t>Table 9 Panel Estimate</w:t>
      </w:r>
    </w:p>
    <w:tbl>
      <w:tblPr>
        <w:tblStyle w:val="TableGrid"/>
        <w:tblpPr w:leftFromText="180" w:rightFromText="180" w:vertAnchor="text" w:tblpY="1"/>
        <w:tblOverlap w:val="never"/>
        <w:tblW w:w="9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23"/>
      </w:tblGrid>
      <w:tr w:rsidR="00707A38" w:rsidRPr="00707A38" w:rsidTr="00BC1F2B">
        <w:tc>
          <w:tcPr>
            <w:tcW w:w="4111" w:type="dxa"/>
            <w:tcBorders>
              <w:top w:val="single" w:sz="4" w:space="0" w:color="auto"/>
              <w:bottom w:val="nil"/>
            </w:tcBorders>
          </w:tcPr>
          <w:p w:rsidR="00707A38" w:rsidRPr="00707A38" w:rsidRDefault="00707A38" w:rsidP="00707A38">
            <w:pPr>
              <w:jc w:val="both"/>
              <w:rPr>
                <w:rFonts w:ascii="Times New Roman" w:hAnsi="Times New Roman" w:cs="Times New Roman"/>
                <w:sz w:val="20"/>
                <w:szCs w:val="20"/>
              </w:rPr>
            </w:pPr>
          </w:p>
        </w:tc>
        <w:tc>
          <w:tcPr>
            <w:tcW w:w="5023" w:type="dxa"/>
            <w:tcBorders>
              <w:top w:val="single" w:sz="4" w:space="0" w:color="auto"/>
              <w:bottom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Random Effect (Robust) Estimates</w:t>
            </w:r>
          </w:p>
        </w:tc>
      </w:tr>
      <w:tr w:rsidR="00707A38" w:rsidRPr="00707A38" w:rsidTr="00BC1F2B">
        <w:tc>
          <w:tcPr>
            <w:tcW w:w="4111" w:type="dxa"/>
            <w:tcBorders>
              <w:top w:val="nil"/>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LOGVD</w:t>
            </w:r>
          </w:p>
        </w:tc>
        <w:tc>
          <w:tcPr>
            <w:tcW w:w="5023" w:type="dxa"/>
            <w:tcBorders>
              <w:top w:val="nil"/>
              <w:bottom w:val="single" w:sz="4" w:space="0" w:color="auto"/>
            </w:tcBorders>
          </w:tcPr>
          <w:p w:rsidR="00707A38" w:rsidRPr="00707A38" w:rsidRDefault="00707A38" w:rsidP="00707A38">
            <w:pPr>
              <w:jc w:val="both"/>
              <w:rPr>
                <w:rFonts w:ascii="Times New Roman" w:hAnsi="Times New Roman" w:cs="Times New Roman"/>
                <w:sz w:val="20"/>
                <w:szCs w:val="20"/>
              </w:rPr>
            </w:pP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SECRS</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-2.23 (0.026)* [.12]</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FECRS</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-2.08 (0.038)*[.21]</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SIZE</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3.84 (0.000)**</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PROFITABILITY</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2.39   (0.017)*</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AGE</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-1.59   (0.112)</w:t>
            </w:r>
          </w:p>
        </w:tc>
      </w:tr>
      <w:tr w:rsidR="00707A38" w:rsidRPr="00707A38" w:rsidTr="00BC1F2B">
        <w:tc>
          <w:tcPr>
            <w:tcW w:w="4111" w:type="dxa"/>
            <w:tcBorders>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GROSSLOAN PORTFOLIO</w:t>
            </w:r>
          </w:p>
        </w:tc>
        <w:tc>
          <w:tcPr>
            <w:tcW w:w="5023" w:type="dxa"/>
            <w:tcBorders>
              <w:bottom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2.86   (0.004)*</w:t>
            </w:r>
          </w:p>
        </w:tc>
      </w:tr>
      <w:tr w:rsidR="00707A38" w:rsidRPr="00707A38" w:rsidTr="00BC1F2B">
        <w:tc>
          <w:tcPr>
            <w:tcW w:w="4111" w:type="dxa"/>
            <w:tcBorders>
              <w:top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R Square </w:t>
            </w:r>
          </w:p>
        </w:tc>
        <w:tc>
          <w:tcPr>
            <w:tcW w:w="5023" w:type="dxa"/>
            <w:tcBorders>
              <w:top w:val="single" w:sz="4" w:space="0" w:color="auto"/>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.3132</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Wald Test (Model F test)</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49.01**</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Wooldridge Test </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0.578(0.456)</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Sigma_e</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.21941505</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rho</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.76396139</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F(Test)            </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13.58** </w:t>
            </w:r>
            <w:r w:rsidRPr="00707A38">
              <w:rPr>
                <w:rFonts w:ascii="Times New Roman" w:eastAsia="Times New Roman" w:hAnsi="Times New Roman" w:cs="Times New Roman"/>
                <w:sz w:val="20"/>
                <w:szCs w:val="20"/>
                <w:lang w:eastAsia="en-IN"/>
              </w:rPr>
              <w:t>Prob &gt; F = 0.0000</w:t>
            </w:r>
          </w:p>
        </w:tc>
      </w:tr>
      <w:tr w:rsidR="00707A38" w:rsidRPr="00707A38" w:rsidTr="00BC1F2B">
        <w:tc>
          <w:tcPr>
            <w:tcW w:w="4111" w:type="dxa"/>
            <w:tcBorders>
              <w:bottom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Breusch Pagan LM</w:t>
            </w:r>
          </w:p>
        </w:tc>
        <w:tc>
          <w:tcPr>
            <w:tcW w:w="5023" w:type="dxa"/>
            <w:tcBorders>
              <w:bottom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124.00(0.0000)**</w:t>
            </w:r>
          </w:p>
        </w:tc>
      </w:tr>
      <w:tr w:rsidR="00707A38" w:rsidRPr="00707A38" w:rsidTr="00BC1F2B">
        <w:tc>
          <w:tcPr>
            <w:tcW w:w="4111"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Effect Hausman</w:t>
            </w:r>
          </w:p>
        </w:tc>
        <w:tc>
          <w:tcPr>
            <w:tcW w:w="5023" w:type="dxa"/>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0.46 (0.9776)</w:t>
            </w:r>
          </w:p>
        </w:tc>
      </w:tr>
      <w:tr w:rsidR="00707A38" w:rsidRPr="00707A38" w:rsidTr="00BC1F2B">
        <w:tc>
          <w:tcPr>
            <w:tcW w:w="4111" w:type="dxa"/>
            <w:tcBorders>
              <w:top w:val="nil"/>
              <w:bottom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eastAsiaTheme="minorEastAsia" w:hAnsi="Times New Roman" w:cs="Times New Roman"/>
                <w:sz w:val="24"/>
                <w:szCs w:val="24"/>
              </w:rPr>
              <w:t>α</w:t>
            </w:r>
          </w:p>
        </w:tc>
        <w:tc>
          <w:tcPr>
            <w:tcW w:w="5023" w:type="dxa"/>
            <w:tcBorders>
              <w:top w:val="nil"/>
              <w:bottom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 xml:space="preserve">20.05(0.000)**  </w:t>
            </w:r>
          </w:p>
        </w:tc>
      </w:tr>
      <w:tr w:rsidR="00707A38" w:rsidRPr="00707A38" w:rsidTr="00BC1F2B">
        <w:tc>
          <w:tcPr>
            <w:tcW w:w="4111" w:type="dxa"/>
            <w:tcBorders>
              <w:top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N</w:t>
            </w:r>
          </w:p>
        </w:tc>
        <w:tc>
          <w:tcPr>
            <w:tcW w:w="5023" w:type="dxa"/>
            <w:tcBorders>
              <w:top w:val="nil"/>
            </w:tcBorders>
          </w:tcPr>
          <w:p w:rsidR="00707A38" w:rsidRPr="00707A38" w:rsidRDefault="00707A38" w:rsidP="00707A38">
            <w:pPr>
              <w:jc w:val="both"/>
              <w:rPr>
                <w:rFonts w:ascii="Times New Roman" w:hAnsi="Times New Roman" w:cs="Times New Roman"/>
                <w:sz w:val="20"/>
                <w:szCs w:val="20"/>
              </w:rPr>
            </w:pPr>
            <w:r w:rsidRPr="00707A38">
              <w:rPr>
                <w:rFonts w:ascii="Times New Roman" w:hAnsi="Times New Roman" w:cs="Times New Roman"/>
                <w:sz w:val="20"/>
                <w:szCs w:val="20"/>
              </w:rPr>
              <w:t>125</w:t>
            </w:r>
          </w:p>
        </w:tc>
      </w:tr>
    </w:tbl>
    <w:p w:rsidR="00707A38" w:rsidRPr="00707A38" w:rsidRDefault="00707A38" w:rsidP="00707A38">
      <w:pPr>
        <w:pBdr>
          <w:bottom w:val="single" w:sz="4" w:space="1" w:color="auto"/>
        </w:pBdr>
        <w:spacing w:line="240" w:lineRule="auto"/>
        <w:jc w:val="both"/>
        <w:rPr>
          <w:rFonts w:ascii="Times New Roman" w:hAnsi="Times New Roman" w:cs="Times New Roman"/>
          <w:sz w:val="24"/>
          <w:szCs w:val="24"/>
        </w:rPr>
      </w:pPr>
      <w:r w:rsidRPr="00707A38">
        <w:rPr>
          <w:rFonts w:ascii="Times New Roman" w:hAnsi="Times New Roman" w:cs="Times New Roman"/>
          <w:sz w:val="20"/>
          <w:szCs w:val="20"/>
        </w:rPr>
        <w:t xml:space="preserve">Note </w:t>
      </w:r>
      <w:r w:rsidR="002236BD" w:rsidRPr="002236BD">
        <w:rPr>
          <w:rFonts w:ascii="Times New Roman" w:hAnsi="Times New Roman" w:cs="Times New Roman"/>
          <w:sz w:val="20"/>
          <w:szCs w:val="20"/>
        </w:rPr>
        <w:t xml:space="preserve">The table displays the estimated table values, and the effects show that the panel has a random effect. The results show random effect (robust) estimates. Statistical significance is indicated in parentheses *5% and **1%. SECRS =Social efficiency (constant return to scale). The std error is indicated by values in the []. Financial Efficiency of FECRS (constant return to scale). The size of an asset is represented by its log. LOGVD is an abbreviation for Log of </w:t>
      </w:r>
      <w:r w:rsidR="008C4038">
        <w:rPr>
          <w:rFonts w:ascii="Times New Roman" w:hAnsi="Times New Roman" w:cs="Times New Roman"/>
          <w:sz w:val="20"/>
          <w:szCs w:val="20"/>
        </w:rPr>
        <w:t>VD</w:t>
      </w:r>
      <w:r w:rsidR="002236BD" w:rsidRPr="002236BD">
        <w:rPr>
          <w:rFonts w:ascii="Times New Roman" w:hAnsi="Times New Roman" w:cs="Times New Roman"/>
          <w:sz w:val="20"/>
          <w:szCs w:val="20"/>
        </w:rPr>
        <w:t xml:space="preserve"> score. The autocorrelation Wooldridge test</w:t>
      </w:r>
      <w:r w:rsidR="008C4038">
        <w:rPr>
          <w:rFonts w:ascii="Times New Roman" w:hAnsi="Times New Roman" w:cs="Times New Roman"/>
          <w:sz w:val="20"/>
          <w:szCs w:val="20"/>
        </w:rPr>
        <w:t xml:space="preserve"> </w:t>
      </w:r>
      <w:r w:rsidR="002236BD" w:rsidRPr="002236BD">
        <w:rPr>
          <w:rFonts w:ascii="Times New Roman" w:hAnsi="Times New Roman" w:cs="Times New Roman"/>
          <w:sz w:val="20"/>
          <w:szCs w:val="20"/>
        </w:rPr>
        <w:t>is used.</w:t>
      </w:r>
      <w:r w:rsidRPr="00707A38">
        <w:rPr>
          <w:rFonts w:ascii="Times New Roman" w:hAnsi="Times New Roman" w:cs="Times New Roman"/>
          <w:sz w:val="24"/>
          <w:szCs w:val="24"/>
        </w:rPr>
        <w:tab/>
      </w:r>
    </w:p>
    <w:p w:rsidR="00707A38" w:rsidRPr="00707A38" w:rsidRDefault="00707A38" w:rsidP="00707A38">
      <w:pPr>
        <w:spacing w:line="480" w:lineRule="auto"/>
        <w:jc w:val="both"/>
        <w:rPr>
          <w:rFonts w:ascii="Times New Roman" w:hAnsi="Times New Roman" w:cs="Times New Roman"/>
          <w:b/>
          <w:caps/>
          <w:sz w:val="24"/>
          <w:szCs w:val="24"/>
        </w:rPr>
      </w:pPr>
      <w:r w:rsidRPr="00707A38">
        <w:rPr>
          <w:rFonts w:ascii="Times New Roman" w:hAnsi="Times New Roman" w:cs="Times New Roman"/>
          <w:b/>
          <w:caps/>
          <w:sz w:val="24"/>
          <w:szCs w:val="24"/>
        </w:rPr>
        <w:t>5.</w:t>
      </w:r>
      <w:r w:rsidR="002A362A">
        <w:rPr>
          <w:rFonts w:ascii="Times New Roman" w:hAnsi="Times New Roman" w:cs="Times New Roman"/>
          <w:b/>
          <w:caps/>
          <w:sz w:val="24"/>
          <w:szCs w:val="24"/>
        </w:rPr>
        <w:t xml:space="preserve"> </w:t>
      </w:r>
      <w:r w:rsidRPr="00707A38">
        <w:rPr>
          <w:rFonts w:ascii="Times New Roman" w:hAnsi="Times New Roman" w:cs="Times New Roman"/>
          <w:b/>
          <w:caps/>
          <w:sz w:val="24"/>
          <w:szCs w:val="24"/>
        </w:rPr>
        <w:t>Implications</w:t>
      </w:r>
    </w:p>
    <w:p w:rsidR="00D8451B" w:rsidRDefault="00A763B1"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The significant implica</w:t>
      </w:r>
      <w:r w:rsidR="00524464">
        <w:rPr>
          <w:rFonts w:ascii="Times New Roman" w:hAnsi="Times New Roman" w:cs="Times New Roman"/>
          <w:sz w:val="24"/>
          <w:szCs w:val="24"/>
        </w:rPr>
        <w:t>tions of the study are categoris</w:t>
      </w:r>
      <w:r>
        <w:rPr>
          <w:rFonts w:ascii="Times New Roman" w:hAnsi="Times New Roman" w:cs="Times New Roman"/>
          <w:sz w:val="24"/>
          <w:szCs w:val="24"/>
        </w:rPr>
        <w:t xml:space="preserve">ed as theoretical and practical implications. The theoretical implication is that the index and sub-index can be referred </w:t>
      </w:r>
      <w:r w:rsidR="0089792E">
        <w:rPr>
          <w:rFonts w:ascii="Times New Roman" w:hAnsi="Times New Roman" w:cs="Times New Roman"/>
          <w:sz w:val="24"/>
          <w:szCs w:val="24"/>
        </w:rPr>
        <w:t xml:space="preserve">to </w:t>
      </w:r>
      <w:r>
        <w:rPr>
          <w:rFonts w:ascii="Times New Roman" w:hAnsi="Times New Roman" w:cs="Times New Roman"/>
          <w:sz w:val="24"/>
          <w:szCs w:val="24"/>
        </w:rPr>
        <w:t xml:space="preserve">for the researchers who want to work in the VD literature specific to the microfinance industry. </w:t>
      </w:r>
    </w:p>
    <w:p w:rsidR="008927F7" w:rsidRDefault="00D8451B"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practical implications are for the </w:t>
      </w:r>
      <w:r w:rsidR="00B33FCC">
        <w:rPr>
          <w:rFonts w:ascii="Times New Roman" w:hAnsi="Times New Roman" w:cs="Times New Roman"/>
          <w:sz w:val="24"/>
          <w:szCs w:val="24"/>
        </w:rPr>
        <w:t>various stakeholders</w:t>
      </w:r>
      <w:r>
        <w:rPr>
          <w:rFonts w:ascii="Times New Roman" w:hAnsi="Times New Roman" w:cs="Times New Roman"/>
          <w:sz w:val="24"/>
          <w:szCs w:val="24"/>
        </w:rPr>
        <w:t xml:space="preserve">. </w:t>
      </w:r>
      <w:r w:rsidR="00B33FCC">
        <w:rPr>
          <w:rFonts w:ascii="Times New Roman" w:hAnsi="Times New Roman" w:cs="Times New Roman"/>
          <w:sz w:val="24"/>
          <w:szCs w:val="24"/>
        </w:rPr>
        <w:t xml:space="preserve">The managers of the firms need to focus on the efforts and the strategy to meet the financial sustainability and outreach </w:t>
      </w:r>
      <w:r w:rsidR="00D519D8">
        <w:rPr>
          <w:rFonts w:ascii="Times New Roman" w:hAnsi="Times New Roman" w:cs="Times New Roman"/>
          <w:sz w:val="24"/>
          <w:szCs w:val="24"/>
        </w:rPr>
        <w:t>simultaneously</w:t>
      </w:r>
      <w:r w:rsidR="00B33FCC">
        <w:rPr>
          <w:rFonts w:ascii="Times New Roman" w:hAnsi="Times New Roman" w:cs="Times New Roman"/>
          <w:sz w:val="24"/>
          <w:szCs w:val="24"/>
        </w:rPr>
        <w:t>. M</w:t>
      </w:r>
      <w:r w:rsidR="00B33FCC" w:rsidRPr="00707A38">
        <w:rPr>
          <w:rFonts w:ascii="Times New Roman" w:hAnsi="Times New Roman" w:cs="Times New Roman"/>
          <w:sz w:val="24"/>
          <w:szCs w:val="24"/>
        </w:rPr>
        <w:t xml:space="preserve">anagers will need to </w:t>
      </w:r>
      <w:r w:rsidR="00757E30" w:rsidRPr="00707A38">
        <w:rPr>
          <w:rFonts w:ascii="Times New Roman" w:hAnsi="Times New Roman" w:cs="Times New Roman"/>
          <w:sz w:val="24"/>
          <w:szCs w:val="24"/>
        </w:rPr>
        <w:t>comprehend</w:t>
      </w:r>
      <w:r w:rsidR="00B33FCC" w:rsidRPr="00707A38">
        <w:rPr>
          <w:rFonts w:ascii="Times New Roman" w:hAnsi="Times New Roman" w:cs="Times New Roman"/>
          <w:sz w:val="24"/>
          <w:szCs w:val="24"/>
        </w:rPr>
        <w:t xml:space="preserve"> the firm's efficiency level a</w:t>
      </w:r>
      <w:r w:rsidR="0089792E">
        <w:rPr>
          <w:rFonts w:ascii="Times New Roman" w:hAnsi="Times New Roman" w:cs="Times New Roman"/>
          <w:sz w:val="24"/>
          <w:szCs w:val="24"/>
        </w:rPr>
        <w:t>nd</w:t>
      </w:r>
      <w:r w:rsidR="00B33FCC" w:rsidRPr="00707A38">
        <w:rPr>
          <w:rFonts w:ascii="Times New Roman" w:hAnsi="Times New Roman" w:cs="Times New Roman"/>
          <w:sz w:val="24"/>
          <w:szCs w:val="24"/>
        </w:rPr>
        <w:t xml:space="preserve"> benchmark with its peers. </w:t>
      </w:r>
      <w:r w:rsidR="00041863">
        <w:rPr>
          <w:rFonts w:ascii="Times New Roman" w:hAnsi="Times New Roman" w:cs="Times New Roman"/>
          <w:sz w:val="24"/>
          <w:szCs w:val="24"/>
        </w:rPr>
        <w:t xml:space="preserve">Second, the study checks the </w:t>
      </w:r>
      <w:r w:rsidR="00A406C4">
        <w:rPr>
          <w:rFonts w:ascii="Times New Roman" w:hAnsi="Times New Roman" w:cs="Times New Roman"/>
          <w:sz w:val="24"/>
          <w:szCs w:val="24"/>
        </w:rPr>
        <w:t>social and financial</w:t>
      </w:r>
      <w:r w:rsidR="00041863">
        <w:rPr>
          <w:rFonts w:ascii="Times New Roman" w:hAnsi="Times New Roman" w:cs="Times New Roman"/>
          <w:sz w:val="24"/>
          <w:szCs w:val="24"/>
        </w:rPr>
        <w:t xml:space="preserve"> performance of the firms through the data envelopment analysis. Through input and output variables identification, efficiency levels are estimated. Third, the study contributes by testing the association between the efficiency levels and their impact on the level of voluntary disclosures.</w:t>
      </w:r>
      <w:r w:rsidR="001662DF">
        <w:rPr>
          <w:rFonts w:ascii="Times New Roman" w:hAnsi="Times New Roman" w:cs="Times New Roman"/>
          <w:sz w:val="24"/>
          <w:szCs w:val="24"/>
        </w:rPr>
        <w:t xml:space="preserve"> </w:t>
      </w:r>
      <w:r w:rsidR="00041863">
        <w:rPr>
          <w:rFonts w:ascii="Times New Roman" w:hAnsi="Times New Roman" w:cs="Times New Roman"/>
          <w:sz w:val="24"/>
          <w:szCs w:val="24"/>
        </w:rPr>
        <w:t>This will bring regulatory and policy implications for the government, checking the firm's voluntary disclosures</w:t>
      </w:r>
      <w:r w:rsidR="00977FD4">
        <w:rPr>
          <w:rFonts w:ascii="Times New Roman" w:hAnsi="Times New Roman" w:cs="Times New Roman"/>
          <w:sz w:val="24"/>
          <w:szCs w:val="24"/>
        </w:rPr>
        <w:t xml:space="preserve"> (Kha</w:t>
      </w:r>
      <w:r w:rsidR="00795A98">
        <w:rPr>
          <w:rFonts w:ascii="Times New Roman" w:hAnsi="Times New Roman" w:cs="Times New Roman"/>
          <w:sz w:val="24"/>
          <w:szCs w:val="24"/>
        </w:rPr>
        <w:t>n, 2011)</w:t>
      </w:r>
      <w:r w:rsidR="00041863">
        <w:rPr>
          <w:rFonts w:ascii="Times New Roman" w:hAnsi="Times New Roman" w:cs="Times New Roman"/>
          <w:sz w:val="24"/>
          <w:szCs w:val="24"/>
        </w:rPr>
        <w:t xml:space="preserve">. The donors and government keep a check on </w:t>
      </w:r>
      <w:r w:rsidR="00055005">
        <w:rPr>
          <w:rFonts w:ascii="Times New Roman" w:hAnsi="Times New Roman" w:cs="Times New Roman"/>
          <w:sz w:val="24"/>
          <w:szCs w:val="24"/>
        </w:rPr>
        <w:t>less efficient firms</w:t>
      </w:r>
      <w:r w:rsidR="00041863">
        <w:rPr>
          <w:rFonts w:ascii="Times New Roman" w:hAnsi="Times New Roman" w:cs="Times New Roman"/>
          <w:sz w:val="24"/>
          <w:szCs w:val="24"/>
        </w:rPr>
        <w:t xml:space="preserve">. </w:t>
      </w:r>
    </w:p>
    <w:p w:rsidR="00BD0F06" w:rsidRDefault="008927F7"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The central bank of India suggests that each NBFC-MFI should be registered with any Self</w:t>
      </w:r>
      <w:r w:rsidR="001662DF">
        <w:rPr>
          <w:rFonts w:ascii="Times New Roman" w:hAnsi="Times New Roman" w:cs="Times New Roman"/>
          <w:sz w:val="24"/>
          <w:szCs w:val="24"/>
        </w:rPr>
        <w:t>-</w:t>
      </w:r>
      <w:r>
        <w:rPr>
          <w:rFonts w:ascii="Times New Roman" w:hAnsi="Times New Roman" w:cs="Times New Roman"/>
          <w:sz w:val="24"/>
          <w:szCs w:val="24"/>
        </w:rPr>
        <w:t>regulatory organi</w:t>
      </w:r>
      <w:r w:rsidR="001662DF">
        <w:rPr>
          <w:rFonts w:ascii="Times New Roman" w:hAnsi="Times New Roman" w:cs="Times New Roman"/>
          <w:sz w:val="24"/>
          <w:szCs w:val="24"/>
        </w:rPr>
        <w:t>z</w:t>
      </w:r>
      <w:r>
        <w:rPr>
          <w:rFonts w:ascii="Times New Roman" w:hAnsi="Times New Roman" w:cs="Times New Roman"/>
          <w:sz w:val="24"/>
          <w:szCs w:val="24"/>
        </w:rPr>
        <w:t>ation (SGO) and do required disclosures (RBI, 2015).</w:t>
      </w:r>
      <w:r w:rsidR="001662DF">
        <w:rPr>
          <w:rFonts w:ascii="Times New Roman" w:hAnsi="Times New Roman" w:cs="Times New Roman"/>
          <w:sz w:val="24"/>
          <w:szCs w:val="24"/>
        </w:rPr>
        <w:t xml:space="preserve"> The </w:t>
      </w:r>
      <w:r w:rsidR="00524464">
        <w:rPr>
          <w:rFonts w:ascii="Times New Roman" w:hAnsi="Times New Roman" w:cs="Times New Roman"/>
          <w:sz w:val="24"/>
          <w:szCs w:val="24"/>
        </w:rPr>
        <w:t>current study's findings</w:t>
      </w:r>
      <w:r w:rsidR="001662DF">
        <w:rPr>
          <w:rFonts w:ascii="Times New Roman" w:hAnsi="Times New Roman" w:cs="Times New Roman"/>
          <w:sz w:val="24"/>
          <w:szCs w:val="24"/>
        </w:rPr>
        <w:t xml:space="preserve"> explain the importance of information even by efficient firms to remove the asymmetry among the firm's various stakeholders. The disclosure being a voluntary activity will help raise the firms' governance standards. Fourth, The managers and regulators should also check the VD </w:t>
      </w:r>
      <w:r w:rsidR="00786258">
        <w:rPr>
          <w:rFonts w:ascii="Times New Roman" w:hAnsi="Times New Roman" w:cs="Times New Roman"/>
          <w:sz w:val="24"/>
          <w:szCs w:val="24"/>
        </w:rPr>
        <w:t xml:space="preserve">policy </w:t>
      </w:r>
      <w:r w:rsidR="001662DF">
        <w:rPr>
          <w:rFonts w:ascii="Times New Roman" w:hAnsi="Times New Roman" w:cs="Times New Roman"/>
          <w:sz w:val="24"/>
          <w:szCs w:val="24"/>
        </w:rPr>
        <w:t>of the</w:t>
      </w:r>
      <w:r w:rsidR="00786258">
        <w:rPr>
          <w:rFonts w:ascii="Times New Roman" w:hAnsi="Times New Roman" w:cs="Times New Roman"/>
          <w:sz w:val="24"/>
          <w:szCs w:val="24"/>
        </w:rPr>
        <w:t xml:space="preserve"> firms with</w:t>
      </w:r>
      <w:r w:rsidR="001662DF">
        <w:rPr>
          <w:rFonts w:ascii="Times New Roman" w:hAnsi="Times New Roman" w:cs="Times New Roman"/>
          <w:sz w:val="24"/>
          <w:szCs w:val="24"/>
        </w:rPr>
        <w:t xml:space="preserve"> less profitable firms</w:t>
      </w:r>
      <w:r w:rsidR="00786258">
        <w:rPr>
          <w:rFonts w:ascii="Times New Roman" w:hAnsi="Times New Roman" w:cs="Times New Roman"/>
          <w:sz w:val="24"/>
          <w:szCs w:val="24"/>
        </w:rPr>
        <w:t xml:space="preserve"> or low gross loan portfolios</w:t>
      </w:r>
      <w:r w:rsidR="001662DF">
        <w:rPr>
          <w:rFonts w:ascii="Times New Roman" w:hAnsi="Times New Roman" w:cs="Times New Roman"/>
          <w:sz w:val="24"/>
          <w:szCs w:val="24"/>
        </w:rPr>
        <w:t xml:space="preserve">. The regulators should also check the small-sized firm's voluntary disclosure policy. </w:t>
      </w:r>
    </w:p>
    <w:p w:rsidR="00B33FCC" w:rsidRDefault="00BD0F06"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VD is not a wasteful activity</w:t>
      </w:r>
      <w:r w:rsidR="000B2F0A">
        <w:rPr>
          <w:rFonts w:ascii="Times New Roman" w:hAnsi="Times New Roman" w:cs="Times New Roman"/>
          <w:sz w:val="24"/>
          <w:szCs w:val="24"/>
        </w:rPr>
        <w:t>. I</w:t>
      </w:r>
      <w:r>
        <w:rPr>
          <w:rFonts w:ascii="Times New Roman" w:hAnsi="Times New Roman" w:cs="Times New Roman"/>
          <w:sz w:val="24"/>
          <w:szCs w:val="24"/>
        </w:rPr>
        <w:t>t is a governance indicator that helps the organi</w:t>
      </w:r>
      <w:r w:rsidR="00524464">
        <w:rPr>
          <w:rFonts w:ascii="Times New Roman" w:hAnsi="Times New Roman" w:cs="Times New Roman"/>
          <w:sz w:val="24"/>
          <w:szCs w:val="24"/>
        </w:rPr>
        <w:t>s</w:t>
      </w:r>
      <w:r>
        <w:rPr>
          <w:rFonts w:ascii="Times New Roman" w:hAnsi="Times New Roman" w:cs="Times New Roman"/>
          <w:sz w:val="24"/>
          <w:szCs w:val="24"/>
        </w:rPr>
        <w:t>ation maintain transparency</w:t>
      </w:r>
      <w:r w:rsidR="00563A89">
        <w:rPr>
          <w:rFonts w:ascii="Times New Roman" w:hAnsi="Times New Roman" w:cs="Times New Roman"/>
          <w:sz w:val="24"/>
          <w:szCs w:val="24"/>
        </w:rPr>
        <w:t xml:space="preserve"> and reduce the cost of capital. </w:t>
      </w:r>
      <w:r w:rsidR="00B33FCC" w:rsidRPr="00B33FCC">
        <w:rPr>
          <w:rFonts w:ascii="Times New Roman" w:hAnsi="Times New Roman" w:cs="Times New Roman"/>
          <w:sz w:val="24"/>
          <w:szCs w:val="24"/>
        </w:rPr>
        <w:t xml:space="preserve">This will help </w:t>
      </w:r>
      <w:r w:rsidR="00232E22">
        <w:rPr>
          <w:rFonts w:ascii="Times New Roman" w:hAnsi="Times New Roman" w:cs="Times New Roman"/>
          <w:sz w:val="24"/>
          <w:szCs w:val="24"/>
        </w:rPr>
        <w:t xml:space="preserve">create a </w:t>
      </w:r>
      <w:r w:rsidR="00B04503">
        <w:rPr>
          <w:rFonts w:ascii="Times New Roman" w:hAnsi="Times New Roman" w:cs="Times New Roman"/>
          <w:sz w:val="24"/>
          <w:szCs w:val="24"/>
        </w:rPr>
        <w:t>sustainable</w:t>
      </w:r>
      <w:r w:rsidR="00232E22">
        <w:rPr>
          <w:rFonts w:ascii="Times New Roman" w:hAnsi="Times New Roman" w:cs="Times New Roman"/>
          <w:sz w:val="24"/>
          <w:szCs w:val="24"/>
        </w:rPr>
        <w:t xml:space="preserve"> environment for social upliftment,</w:t>
      </w:r>
      <w:r w:rsidR="00B33FCC" w:rsidRPr="00B33FCC">
        <w:rPr>
          <w:rFonts w:ascii="Times New Roman" w:hAnsi="Times New Roman" w:cs="Times New Roman"/>
          <w:sz w:val="24"/>
          <w:szCs w:val="24"/>
        </w:rPr>
        <w:t xml:space="preserve"> one of these NBFC-MFI entities' ultimate goals.</w:t>
      </w:r>
    </w:p>
    <w:p w:rsidR="00707A38" w:rsidRPr="00707A38" w:rsidRDefault="00440DB1" w:rsidP="00707A38">
      <w:pPr>
        <w:spacing w:line="480" w:lineRule="auto"/>
        <w:jc w:val="both"/>
        <w:rPr>
          <w:rFonts w:ascii="Times New Roman" w:hAnsi="Times New Roman" w:cs="Times New Roman"/>
          <w:b/>
          <w:caps/>
          <w:sz w:val="24"/>
          <w:szCs w:val="24"/>
        </w:rPr>
      </w:pPr>
      <w:r>
        <w:rPr>
          <w:rFonts w:ascii="Times New Roman" w:hAnsi="Times New Roman" w:cs="Times New Roman"/>
          <w:sz w:val="24"/>
          <w:szCs w:val="24"/>
        </w:rPr>
        <w:t xml:space="preserve">6. </w:t>
      </w:r>
      <w:r w:rsidR="00DD30D0">
        <w:rPr>
          <w:rFonts w:ascii="Times New Roman" w:hAnsi="Times New Roman" w:cs="Times New Roman"/>
          <w:b/>
          <w:caps/>
          <w:sz w:val="24"/>
          <w:szCs w:val="24"/>
        </w:rPr>
        <w:t>Observed Conclusion and future scope</w:t>
      </w:r>
    </w:p>
    <w:p w:rsidR="00707A38" w:rsidRPr="00707A38" w:rsidRDefault="00707A38" w:rsidP="00707A38">
      <w:pPr>
        <w:spacing w:line="480" w:lineRule="auto"/>
        <w:jc w:val="both"/>
        <w:rPr>
          <w:rFonts w:ascii="Times New Roman" w:hAnsi="Times New Roman" w:cs="Times New Roman"/>
          <w:sz w:val="24"/>
          <w:szCs w:val="24"/>
        </w:rPr>
      </w:pPr>
      <w:r w:rsidRPr="00707A38">
        <w:rPr>
          <w:rFonts w:ascii="Times New Roman" w:hAnsi="Times New Roman" w:cs="Times New Roman"/>
          <w:sz w:val="24"/>
          <w:szCs w:val="24"/>
        </w:rPr>
        <w:t>The study deals with the performance of the microfinance institutions and found that technical efficiency removes the performance measurement issues and for analysing the performance of the DMU</w:t>
      </w:r>
      <w:r w:rsidR="007443D1">
        <w:rPr>
          <w:rFonts w:ascii="Times New Roman" w:hAnsi="Times New Roman" w:cs="Times New Roman"/>
          <w:sz w:val="24"/>
          <w:szCs w:val="24"/>
        </w:rPr>
        <w:t>'</w:t>
      </w:r>
      <w:r w:rsidRPr="00707A38">
        <w:rPr>
          <w:rFonts w:ascii="Times New Roman" w:hAnsi="Times New Roman" w:cs="Times New Roman"/>
          <w:sz w:val="24"/>
          <w:szCs w:val="24"/>
        </w:rPr>
        <w:t xml:space="preserve">s. The study </w:t>
      </w:r>
      <w:r w:rsidR="0017228E">
        <w:rPr>
          <w:rFonts w:ascii="Times New Roman" w:hAnsi="Times New Roman" w:cs="Times New Roman"/>
          <w:sz w:val="24"/>
          <w:szCs w:val="24"/>
        </w:rPr>
        <w:t>estimates</w:t>
      </w:r>
      <w:r w:rsidRPr="00707A38">
        <w:rPr>
          <w:rFonts w:ascii="Times New Roman" w:hAnsi="Times New Roman" w:cs="Times New Roman"/>
          <w:sz w:val="24"/>
          <w:szCs w:val="24"/>
        </w:rPr>
        <w:t xml:space="preserve"> the dual efficiency levels of the NBFC-MFI of India</w:t>
      </w:r>
      <w:r w:rsidR="0017228E">
        <w:rPr>
          <w:rFonts w:ascii="Times New Roman" w:hAnsi="Times New Roman" w:cs="Times New Roman"/>
          <w:sz w:val="24"/>
          <w:szCs w:val="24"/>
        </w:rPr>
        <w:t>,</w:t>
      </w:r>
      <w:r w:rsidRPr="00707A38">
        <w:rPr>
          <w:rFonts w:ascii="Times New Roman" w:hAnsi="Times New Roman" w:cs="Times New Roman"/>
          <w:sz w:val="24"/>
          <w:szCs w:val="24"/>
        </w:rPr>
        <w:t xml:space="preserve"> which are financial and social efficiency. </w:t>
      </w:r>
      <w:r w:rsidR="0017228E">
        <w:rPr>
          <w:rFonts w:ascii="Times New Roman" w:hAnsi="Times New Roman" w:cs="Times New Roman"/>
          <w:sz w:val="24"/>
          <w:szCs w:val="24"/>
        </w:rPr>
        <w:t>The study concludes</w:t>
      </w:r>
      <w:r w:rsidRPr="00707A38">
        <w:rPr>
          <w:rFonts w:ascii="Times New Roman" w:hAnsi="Times New Roman" w:cs="Times New Roman"/>
          <w:sz w:val="24"/>
          <w:szCs w:val="24"/>
        </w:rPr>
        <w:t xml:space="preserve"> that technical financial efficiency estimated at the constant returns to scale is better than the technical social efficiency levels </w:t>
      </w:r>
      <w:r w:rsidR="0017228E">
        <w:rPr>
          <w:rFonts w:ascii="Times New Roman" w:hAnsi="Times New Roman" w:cs="Times New Roman"/>
          <w:sz w:val="24"/>
          <w:szCs w:val="24"/>
        </w:rPr>
        <w:t>assess</w:t>
      </w:r>
      <w:r w:rsidRPr="00707A38">
        <w:rPr>
          <w:rFonts w:ascii="Times New Roman" w:hAnsi="Times New Roman" w:cs="Times New Roman"/>
          <w:sz w:val="24"/>
          <w:szCs w:val="24"/>
        </w:rPr>
        <w:t>ed at the constan</w:t>
      </w:r>
      <w:r w:rsidR="0017228E">
        <w:rPr>
          <w:rFonts w:ascii="Times New Roman" w:hAnsi="Times New Roman" w:cs="Times New Roman"/>
          <w:sz w:val="24"/>
          <w:szCs w:val="24"/>
        </w:rPr>
        <w:t>t</w:t>
      </w:r>
      <w:r w:rsidRPr="00707A38">
        <w:rPr>
          <w:rFonts w:ascii="Times New Roman" w:hAnsi="Times New Roman" w:cs="Times New Roman"/>
          <w:sz w:val="24"/>
          <w:szCs w:val="24"/>
        </w:rPr>
        <w:t xml:space="preserve"> return to scale. It is observed that the Indian NBFC- MFI are found to improv</w:t>
      </w:r>
      <w:r w:rsidR="0017228E">
        <w:rPr>
          <w:rFonts w:ascii="Times New Roman" w:hAnsi="Times New Roman" w:cs="Times New Roman"/>
          <w:sz w:val="24"/>
          <w:szCs w:val="24"/>
        </w:rPr>
        <w:t>e</w:t>
      </w:r>
      <w:r w:rsidRPr="00707A38">
        <w:rPr>
          <w:rFonts w:ascii="Times New Roman" w:hAnsi="Times New Roman" w:cs="Times New Roman"/>
          <w:sz w:val="24"/>
          <w:szCs w:val="24"/>
        </w:rPr>
        <w:t xml:space="preserve"> the financial performance</w:t>
      </w:r>
      <w:r w:rsidR="0017228E">
        <w:rPr>
          <w:rFonts w:ascii="Times New Roman" w:hAnsi="Times New Roman" w:cs="Times New Roman"/>
          <w:sz w:val="24"/>
          <w:szCs w:val="24"/>
        </w:rPr>
        <w:t>,</w:t>
      </w:r>
      <w:r w:rsidRPr="00707A38">
        <w:rPr>
          <w:rFonts w:ascii="Times New Roman" w:hAnsi="Times New Roman" w:cs="Times New Roman"/>
          <w:sz w:val="24"/>
          <w:szCs w:val="24"/>
        </w:rPr>
        <w:t xml:space="preserve"> which explains the sustainability of the organisations but still</w:t>
      </w:r>
      <w:r w:rsidR="0017228E">
        <w:rPr>
          <w:rFonts w:ascii="Times New Roman" w:hAnsi="Times New Roman" w:cs="Times New Roman"/>
          <w:sz w:val="24"/>
          <w:szCs w:val="24"/>
        </w:rPr>
        <w:t>,</w:t>
      </w:r>
      <w:r w:rsidRPr="00707A38">
        <w:rPr>
          <w:rFonts w:ascii="Times New Roman" w:hAnsi="Times New Roman" w:cs="Times New Roman"/>
          <w:sz w:val="24"/>
          <w:szCs w:val="24"/>
        </w:rPr>
        <w:t xml:space="preserve"> a lot of scope</w:t>
      </w:r>
      <w:r w:rsidR="0017228E">
        <w:rPr>
          <w:rFonts w:ascii="Times New Roman" w:hAnsi="Times New Roman" w:cs="Times New Roman"/>
          <w:sz w:val="24"/>
          <w:szCs w:val="24"/>
        </w:rPr>
        <w:t>s</w:t>
      </w:r>
      <w:r w:rsidRPr="00707A38">
        <w:rPr>
          <w:rFonts w:ascii="Times New Roman" w:hAnsi="Times New Roman" w:cs="Times New Roman"/>
          <w:sz w:val="24"/>
          <w:szCs w:val="24"/>
        </w:rPr>
        <w:t xml:space="preserve"> exist for the firms to improve their social performance indicating the outreach f</w:t>
      </w:r>
      <w:r w:rsidR="0017228E">
        <w:rPr>
          <w:rFonts w:ascii="Times New Roman" w:hAnsi="Times New Roman" w:cs="Times New Roman"/>
          <w:sz w:val="24"/>
          <w:szCs w:val="24"/>
        </w:rPr>
        <w:t>ro</w:t>
      </w:r>
      <w:r w:rsidRPr="00707A38">
        <w:rPr>
          <w:rFonts w:ascii="Times New Roman" w:hAnsi="Times New Roman" w:cs="Times New Roman"/>
          <w:sz w:val="24"/>
          <w:szCs w:val="24"/>
        </w:rPr>
        <w:t>m the year 2015 to 2019.</w:t>
      </w:r>
    </w:p>
    <w:p w:rsidR="00707A38" w:rsidRPr="00707A38" w:rsidRDefault="0017228E"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707A38" w:rsidRPr="00707A38">
        <w:rPr>
          <w:rFonts w:ascii="Times New Roman" w:hAnsi="Times New Roman" w:cs="Times New Roman"/>
          <w:sz w:val="24"/>
          <w:szCs w:val="24"/>
        </w:rPr>
        <w:t xml:space="preserve"> voluntary dis</w:t>
      </w:r>
      <w:r>
        <w:rPr>
          <w:rFonts w:ascii="Times New Roman" w:hAnsi="Times New Roman" w:cs="Times New Roman"/>
          <w:sz w:val="24"/>
          <w:szCs w:val="24"/>
        </w:rPr>
        <w:t>closu</w:t>
      </w:r>
      <w:r w:rsidR="00707A38" w:rsidRPr="00707A38">
        <w:rPr>
          <w:rFonts w:ascii="Times New Roman" w:hAnsi="Times New Roman" w:cs="Times New Roman"/>
          <w:sz w:val="24"/>
          <w:szCs w:val="24"/>
        </w:rPr>
        <w:t xml:space="preserve">res level of the NBFC- MFI </w:t>
      </w:r>
      <w:r>
        <w:rPr>
          <w:rFonts w:ascii="Times New Roman" w:hAnsi="Times New Roman" w:cs="Times New Roman"/>
          <w:sz w:val="24"/>
          <w:szCs w:val="24"/>
        </w:rPr>
        <w:t>for different</w:t>
      </w:r>
      <w:r w:rsidR="00707A38" w:rsidRPr="00707A38">
        <w:rPr>
          <w:rFonts w:ascii="Times New Roman" w:hAnsi="Times New Roman" w:cs="Times New Roman"/>
          <w:sz w:val="24"/>
          <w:szCs w:val="24"/>
        </w:rPr>
        <w:t xml:space="preserve"> sub</w:t>
      </w:r>
      <w:r>
        <w:rPr>
          <w:rFonts w:ascii="Times New Roman" w:hAnsi="Times New Roman" w:cs="Times New Roman"/>
          <w:sz w:val="24"/>
          <w:szCs w:val="24"/>
        </w:rPr>
        <w:t>-</w:t>
      </w:r>
      <w:r w:rsidR="00707A38" w:rsidRPr="00707A38">
        <w:rPr>
          <w:rFonts w:ascii="Times New Roman" w:hAnsi="Times New Roman" w:cs="Times New Roman"/>
          <w:sz w:val="24"/>
          <w:szCs w:val="24"/>
        </w:rPr>
        <w:t>indices</w:t>
      </w:r>
      <w:r>
        <w:rPr>
          <w:rFonts w:ascii="Times New Roman" w:hAnsi="Times New Roman" w:cs="Times New Roman"/>
          <w:sz w:val="24"/>
          <w:szCs w:val="24"/>
        </w:rPr>
        <w:t xml:space="preserve"> are estimated. It </w:t>
      </w:r>
      <w:r w:rsidR="00707A38" w:rsidRPr="00707A38">
        <w:rPr>
          <w:rFonts w:ascii="Times New Roman" w:hAnsi="Times New Roman" w:cs="Times New Roman"/>
          <w:sz w:val="24"/>
          <w:szCs w:val="24"/>
        </w:rPr>
        <w:t>concludes that firms disclose more voluntarily on the financial performance and the forward</w:t>
      </w:r>
      <w:r>
        <w:rPr>
          <w:rFonts w:ascii="Times New Roman" w:hAnsi="Times New Roman" w:cs="Times New Roman"/>
          <w:sz w:val="24"/>
          <w:szCs w:val="24"/>
        </w:rPr>
        <w:t>-</w:t>
      </w:r>
      <w:r w:rsidR="00707A38" w:rsidRPr="00707A38">
        <w:rPr>
          <w:rFonts w:ascii="Times New Roman" w:hAnsi="Times New Roman" w:cs="Times New Roman"/>
          <w:sz w:val="24"/>
          <w:szCs w:val="24"/>
        </w:rPr>
        <w:t>looking information but show low voluntary dis</w:t>
      </w:r>
      <w:r>
        <w:rPr>
          <w:rFonts w:ascii="Times New Roman" w:hAnsi="Times New Roman" w:cs="Times New Roman"/>
          <w:sz w:val="24"/>
          <w:szCs w:val="24"/>
        </w:rPr>
        <w:t>cl</w:t>
      </w:r>
      <w:r w:rsidR="00707A38" w:rsidRPr="00707A38">
        <w:rPr>
          <w:rFonts w:ascii="Times New Roman" w:hAnsi="Times New Roman" w:cs="Times New Roman"/>
          <w:sz w:val="24"/>
          <w:szCs w:val="24"/>
        </w:rPr>
        <w:t>osures on the corporate social respon</w:t>
      </w:r>
      <w:r>
        <w:rPr>
          <w:rFonts w:ascii="Times New Roman" w:hAnsi="Times New Roman" w:cs="Times New Roman"/>
          <w:sz w:val="24"/>
          <w:szCs w:val="24"/>
        </w:rPr>
        <w:t>s</w:t>
      </w:r>
      <w:r w:rsidR="00707A38" w:rsidRPr="00707A38">
        <w:rPr>
          <w:rFonts w:ascii="Times New Roman" w:hAnsi="Times New Roman" w:cs="Times New Roman"/>
          <w:sz w:val="24"/>
          <w:szCs w:val="24"/>
        </w:rPr>
        <w:t>ibility</w:t>
      </w:r>
      <w:r>
        <w:rPr>
          <w:rFonts w:ascii="Times New Roman" w:hAnsi="Times New Roman" w:cs="Times New Roman"/>
          <w:sz w:val="24"/>
          <w:szCs w:val="24"/>
        </w:rPr>
        <w:t xml:space="preserve">, </w:t>
      </w:r>
      <w:r w:rsidR="00707A38" w:rsidRPr="00707A38">
        <w:rPr>
          <w:rFonts w:ascii="Times New Roman" w:hAnsi="Times New Roman" w:cs="Times New Roman"/>
          <w:sz w:val="24"/>
          <w:szCs w:val="24"/>
        </w:rPr>
        <w:t xml:space="preserve">social </w:t>
      </w:r>
      <w:r>
        <w:rPr>
          <w:rFonts w:ascii="Times New Roman" w:hAnsi="Times New Roman" w:cs="Times New Roman"/>
          <w:sz w:val="24"/>
          <w:szCs w:val="24"/>
        </w:rPr>
        <w:t>communic</w:t>
      </w:r>
      <w:r w:rsidR="00707A38" w:rsidRPr="00707A38">
        <w:rPr>
          <w:rFonts w:ascii="Times New Roman" w:hAnsi="Times New Roman" w:cs="Times New Roman"/>
          <w:sz w:val="24"/>
          <w:szCs w:val="24"/>
        </w:rPr>
        <w:t>ation, competitive environment</w:t>
      </w:r>
      <w:r>
        <w:rPr>
          <w:rFonts w:ascii="Times New Roman" w:hAnsi="Times New Roman" w:cs="Times New Roman"/>
          <w:sz w:val="24"/>
          <w:szCs w:val="24"/>
        </w:rPr>
        <w:t>,</w:t>
      </w:r>
      <w:r w:rsidR="00707A38" w:rsidRPr="00707A38">
        <w:rPr>
          <w:rFonts w:ascii="Times New Roman" w:hAnsi="Times New Roman" w:cs="Times New Roman"/>
          <w:sz w:val="24"/>
          <w:szCs w:val="24"/>
        </w:rPr>
        <w:t xml:space="preserve"> and corporate strategy. But the average voluntary disclosures are improv</w:t>
      </w:r>
      <w:r>
        <w:rPr>
          <w:rFonts w:ascii="Times New Roman" w:hAnsi="Times New Roman" w:cs="Times New Roman"/>
          <w:sz w:val="24"/>
          <w:szCs w:val="24"/>
        </w:rPr>
        <w:t>ed</w:t>
      </w:r>
      <w:r w:rsidR="00707A38" w:rsidRPr="00707A38">
        <w:rPr>
          <w:rFonts w:ascii="Times New Roman" w:hAnsi="Times New Roman" w:cs="Times New Roman"/>
          <w:sz w:val="24"/>
          <w:szCs w:val="24"/>
        </w:rPr>
        <w:t xml:space="preserve"> from </w:t>
      </w:r>
      <w:r>
        <w:rPr>
          <w:rFonts w:ascii="Times New Roman" w:hAnsi="Times New Roman" w:cs="Times New Roman"/>
          <w:sz w:val="24"/>
          <w:szCs w:val="24"/>
        </w:rPr>
        <w:t>2015</w:t>
      </w:r>
      <w:r w:rsidR="00707A38" w:rsidRPr="00707A3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707A38" w:rsidRPr="00707A38">
        <w:rPr>
          <w:rFonts w:ascii="Times New Roman" w:hAnsi="Times New Roman" w:cs="Times New Roman"/>
          <w:sz w:val="24"/>
          <w:szCs w:val="24"/>
        </w:rPr>
        <w:t xml:space="preserve">2019. </w:t>
      </w:r>
    </w:p>
    <w:p w:rsidR="00707A38" w:rsidRPr="00707A38" w:rsidRDefault="00F90B83"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also suggests that mean VD scores of the NBFC-MFI are not, but still, a gradual improvement is observed from 2015 to 2019. </w:t>
      </w:r>
      <w:r w:rsidR="00707A38" w:rsidRPr="00707A38">
        <w:rPr>
          <w:rFonts w:ascii="Times New Roman" w:hAnsi="Times New Roman" w:cs="Times New Roman"/>
          <w:sz w:val="24"/>
          <w:szCs w:val="24"/>
        </w:rPr>
        <w:t xml:space="preserve">The level of voluntary disclosure is negatively associated with financial efficiency in the sample of NBFC-MFIs, the majority of which are private limited companies. It also concludes that the level of voluntary disclosures is inversely connected to social efficiency. The negative relationship exists because high-performing companies assume that voluntary disclosures will have no impact on their investors and contributors and that reporting voluntarily is a waste of time. They also </w:t>
      </w:r>
      <w:r w:rsidR="00E07164">
        <w:rPr>
          <w:rFonts w:ascii="Times New Roman" w:hAnsi="Times New Roman" w:cs="Times New Roman"/>
          <w:sz w:val="24"/>
          <w:szCs w:val="24"/>
        </w:rPr>
        <w:t>believ</w:t>
      </w:r>
      <w:r w:rsidR="00707A38" w:rsidRPr="00707A38">
        <w:rPr>
          <w:rFonts w:ascii="Times New Roman" w:hAnsi="Times New Roman" w:cs="Times New Roman"/>
          <w:sz w:val="24"/>
          <w:szCs w:val="24"/>
        </w:rPr>
        <w:t xml:space="preserve">e that investing in </w:t>
      </w:r>
      <w:r w:rsidR="003745AA" w:rsidRPr="00707A38">
        <w:rPr>
          <w:rFonts w:ascii="Times New Roman" w:hAnsi="Times New Roman" w:cs="Times New Roman"/>
          <w:sz w:val="24"/>
          <w:szCs w:val="24"/>
        </w:rPr>
        <w:t>community</w:t>
      </w:r>
      <w:r w:rsidR="00707A38" w:rsidRPr="00707A38">
        <w:rPr>
          <w:rFonts w:ascii="Times New Roman" w:hAnsi="Times New Roman" w:cs="Times New Roman"/>
          <w:sz w:val="24"/>
          <w:szCs w:val="24"/>
        </w:rPr>
        <w:t xml:space="preserve"> </w:t>
      </w:r>
      <w:r w:rsidR="003745AA" w:rsidRPr="00707A38">
        <w:rPr>
          <w:rFonts w:ascii="Times New Roman" w:hAnsi="Times New Roman" w:cs="Times New Roman"/>
          <w:sz w:val="24"/>
          <w:szCs w:val="24"/>
        </w:rPr>
        <w:t>events</w:t>
      </w:r>
      <w:r w:rsidR="00707A38" w:rsidRPr="00707A38">
        <w:rPr>
          <w:rFonts w:ascii="Times New Roman" w:hAnsi="Times New Roman" w:cs="Times New Roman"/>
          <w:sz w:val="24"/>
          <w:szCs w:val="24"/>
        </w:rPr>
        <w:t xml:space="preserve"> adds to the cost</w:t>
      </w:r>
      <w:r w:rsidR="0059447B">
        <w:rPr>
          <w:rFonts w:ascii="Times New Roman" w:hAnsi="Times New Roman" w:cs="Times New Roman"/>
          <w:sz w:val="24"/>
          <w:szCs w:val="24"/>
        </w:rPr>
        <w:t>. The present research studies firms</w:t>
      </w:r>
      <w:r w:rsidR="00524464">
        <w:rPr>
          <w:rFonts w:ascii="Times New Roman" w:hAnsi="Times New Roman" w:cs="Times New Roman"/>
          <w:sz w:val="24"/>
          <w:szCs w:val="24"/>
        </w:rPr>
        <w:t xml:space="preserve">, </w:t>
      </w:r>
      <w:r w:rsidR="0059447B">
        <w:rPr>
          <w:rFonts w:ascii="Times New Roman" w:hAnsi="Times New Roman" w:cs="Times New Roman"/>
          <w:sz w:val="24"/>
          <w:szCs w:val="24"/>
        </w:rPr>
        <w:t>which are</w:t>
      </w:r>
      <w:r w:rsidR="00707A38" w:rsidRPr="00707A38">
        <w:rPr>
          <w:rFonts w:ascii="Times New Roman" w:hAnsi="Times New Roman" w:cs="Times New Roman"/>
          <w:sz w:val="24"/>
          <w:szCs w:val="24"/>
        </w:rPr>
        <w:t xml:space="preserve"> public and private companies, which means there are more misinformed investors.</w:t>
      </w:r>
    </w:p>
    <w:p w:rsidR="00707A38" w:rsidRPr="00707A38" w:rsidRDefault="00707A38" w:rsidP="00707A38">
      <w:pPr>
        <w:spacing w:line="480" w:lineRule="auto"/>
        <w:jc w:val="both"/>
        <w:rPr>
          <w:rFonts w:ascii="Times New Roman" w:hAnsi="Times New Roman" w:cs="Times New Roman"/>
          <w:sz w:val="24"/>
          <w:szCs w:val="24"/>
        </w:rPr>
      </w:pPr>
      <w:r w:rsidRPr="00707A38">
        <w:rPr>
          <w:rFonts w:ascii="Times New Roman" w:hAnsi="Times New Roman" w:cs="Times New Roman"/>
          <w:sz w:val="24"/>
          <w:szCs w:val="24"/>
        </w:rPr>
        <w:t xml:space="preserve">The random effect model suggests the uniqueness of all of the firms studied over the years. </w:t>
      </w:r>
      <w:r w:rsidR="00E07164">
        <w:rPr>
          <w:rFonts w:ascii="Times New Roman" w:hAnsi="Times New Roman" w:cs="Times New Roman"/>
          <w:sz w:val="24"/>
          <w:szCs w:val="24"/>
        </w:rPr>
        <w:t>T</w:t>
      </w:r>
      <w:r w:rsidRPr="00707A38">
        <w:rPr>
          <w:rFonts w:ascii="Times New Roman" w:hAnsi="Times New Roman" w:cs="Times New Roman"/>
          <w:sz w:val="24"/>
          <w:szCs w:val="24"/>
        </w:rPr>
        <w:t>he size and profitability of a company grow, so does the level of voluntary disclosure. In the random effect model, age is significant and negative. However, the study discovered that age has no significant relationship with voluntary disclosures in the robust model. The voluntary disclosures are positively related to the gross loan portfolio, which is a</w:t>
      </w:r>
      <w:r w:rsidR="00E07164">
        <w:rPr>
          <w:rFonts w:ascii="Times New Roman" w:hAnsi="Times New Roman" w:cs="Times New Roman"/>
          <w:sz w:val="24"/>
          <w:szCs w:val="24"/>
        </w:rPr>
        <w:t>n excellent</w:t>
      </w:r>
      <w:r w:rsidRPr="00707A38">
        <w:rPr>
          <w:rFonts w:ascii="Times New Roman" w:hAnsi="Times New Roman" w:cs="Times New Roman"/>
          <w:sz w:val="24"/>
          <w:szCs w:val="24"/>
        </w:rPr>
        <w:t xml:space="preserve"> </w:t>
      </w:r>
      <w:r w:rsidR="00524464">
        <w:rPr>
          <w:rFonts w:ascii="Times New Roman" w:hAnsi="Times New Roman" w:cs="Times New Roman"/>
          <w:sz w:val="24"/>
          <w:szCs w:val="24"/>
        </w:rPr>
        <w:t>social performance indicator</w:t>
      </w:r>
      <w:r w:rsidRPr="00707A38">
        <w:rPr>
          <w:rFonts w:ascii="Times New Roman" w:hAnsi="Times New Roman" w:cs="Times New Roman"/>
          <w:sz w:val="24"/>
          <w:szCs w:val="24"/>
        </w:rPr>
        <w:t>.</w:t>
      </w:r>
    </w:p>
    <w:p w:rsidR="00707A38" w:rsidRPr="00707A38" w:rsidRDefault="00E07164" w:rsidP="00707A38">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can be extended with many</w:t>
      </w:r>
      <w:r w:rsidR="00707A38" w:rsidRPr="00707A38">
        <w:rPr>
          <w:rFonts w:ascii="Times New Roman" w:hAnsi="Times New Roman" w:cs="Times New Roman"/>
          <w:sz w:val="24"/>
          <w:szCs w:val="24"/>
        </w:rPr>
        <w:t xml:space="preserve"> similar companies and other microfinance institutions. </w:t>
      </w:r>
      <w:r w:rsidR="00F90B83">
        <w:rPr>
          <w:rFonts w:ascii="Times New Roman" w:hAnsi="Times New Roman" w:cs="Times New Roman"/>
          <w:sz w:val="24"/>
          <w:szCs w:val="24"/>
        </w:rPr>
        <w:t xml:space="preserve">The productivity of the firms can be tested as the determinant of VD. The index contruction can adopt a weighted index methodology, and the association with efficiency can be tested empirically. </w:t>
      </w:r>
      <w:r w:rsidR="00707A38" w:rsidRPr="00707A38">
        <w:rPr>
          <w:rFonts w:ascii="Times New Roman" w:hAnsi="Times New Roman" w:cs="Times New Roman"/>
          <w:sz w:val="24"/>
          <w:szCs w:val="24"/>
        </w:rPr>
        <w:t xml:space="preserve">A future study could also </w:t>
      </w:r>
      <w:r>
        <w:rPr>
          <w:rFonts w:ascii="Times New Roman" w:hAnsi="Times New Roman" w:cs="Times New Roman"/>
          <w:sz w:val="24"/>
          <w:szCs w:val="24"/>
        </w:rPr>
        <w:t>examine</w:t>
      </w:r>
      <w:r w:rsidR="00707A38" w:rsidRPr="00707A38">
        <w:rPr>
          <w:rFonts w:ascii="Times New Roman" w:hAnsi="Times New Roman" w:cs="Times New Roman"/>
          <w:sz w:val="24"/>
          <w:szCs w:val="24"/>
        </w:rPr>
        <w:t xml:space="preserve"> the endogeneity of efficiency and voluntary disclosure.</w:t>
      </w:r>
    </w:p>
    <w:p w:rsidR="00557B04" w:rsidRPr="00707A38" w:rsidRDefault="00557B04" w:rsidP="00557B04">
      <w:pPr>
        <w:spacing w:line="480" w:lineRule="auto"/>
        <w:jc w:val="both"/>
        <w:rPr>
          <w:rFonts w:ascii="Times New Roman" w:hAnsi="Times New Roman" w:cs="Times New Roman"/>
          <w:b/>
          <w:sz w:val="24"/>
          <w:szCs w:val="24"/>
        </w:rPr>
      </w:pPr>
      <w:r w:rsidRPr="00707A38">
        <w:rPr>
          <w:rFonts w:ascii="Times New Roman" w:hAnsi="Times New Roman" w:cs="Times New Roman"/>
          <w:b/>
          <w:sz w:val="24"/>
          <w:szCs w:val="24"/>
        </w:rPr>
        <w:t>Annexure 1</w:t>
      </w:r>
    </w:p>
    <w:tbl>
      <w:tblPr>
        <w:tblW w:w="575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21"/>
        <w:gridCol w:w="4076"/>
        <w:gridCol w:w="57"/>
      </w:tblGrid>
      <w:tr w:rsidR="00557B04" w:rsidRPr="00707A38" w:rsidTr="00557B04">
        <w:trPr>
          <w:trHeight w:val="317"/>
        </w:trPr>
        <w:tc>
          <w:tcPr>
            <w:tcW w:w="1621"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  S. NO </w:t>
            </w:r>
            <w:r>
              <w:rPr>
                <w:rFonts w:ascii="Times New Roman" w:hAnsi="Times New Roman" w:cs="Times New Roman"/>
                <w:color w:val="000000"/>
                <w:sz w:val="20"/>
                <w:szCs w:val="20"/>
              </w:rPr>
              <w:t>–NBFC-MFI</w:t>
            </w:r>
          </w:p>
        </w:tc>
        <w:tc>
          <w:tcPr>
            <w:tcW w:w="4133" w:type="dxa"/>
            <w:gridSpan w:val="2"/>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Name </w:t>
            </w:r>
          </w:p>
        </w:tc>
      </w:tr>
      <w:tr w:rsidR="00557B04" w:rsidRPr="00707A38" w:rsidTr="00557B04">
        <w:trPr>
          <w:trHeight w:val="317"/>
        </w:trPr>
        <w:tc>
          <w:tcPr>
            <w:tcW w:w="1621" w:type="dxa"/>
            <w:tcBorders>
              <w:top w:val="single" w:sz="4" w:space="0" w:color="auto"/>
            </w:tcBorders>
            <w:shd w:val="clear" w:color="auto" w:fill="auto"/>
            <w:noWrap/>
            <w:tcMar>
              <w:top w:w="15" w:type="dxa"/>
              <w:left w:w="15" w:type="dxa"/>
              <w:bottom w:w="0" w:type="dxa"/>
              <w:right w:w="15" w:type="dxa"/>
            </w:tcMar>
            <w:vAlign w:val="bottom"/>
            <w:hideMark/>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133" w:type="dxa"/>
            <w:gridSpan w:val="2"/>
            <w:tcBorders>
              <w:top w:val="single" w:sz="4" w:space="0" w:color="auto"/>
            </w:tcBorders>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 Adhikar Microfinance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Agora Microfinance India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Annapurna Finance Privat</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Asirvad Micro Finance </w:t>
            </w:r>
            <w:r>
              <w:rPr>
                <w:rFonts w:ascii="Times New Roman" w:hAnsi="Times New Roman" w:cs="Times New Roman"/>
                <w:color w:val="000000"/>
                <w:sz w:val="20"/>
                <w:szCs w:val="20"/>
              </w:rPr>
              <w:t>Limited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Belstar Microfinance 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Bharat Financial Inclusion </w:t>
            </w:r>
            <w:r>
              <w:rPr>
                <w:rFonts w:ascii="Times New Roman" w:hAnsi="Times New Roman" w:cs="Times New Roman"/>
                <w:color w:val="000000"/>
                <w:sz w:val="20"/>
                <w:szCs w:val="20"/>
              </w:rPr>
              <w:t>Limited</w:t>
            </w:r>
            <w:r w:rsidRPr="00707A38">
              <w:rPr>
                <w:rFonts w:ascii="Times New Roman" w:hAnsi="Times New Roman" w:cs="Times New Roman"/>
                <w:color w:val="000000"/>
                <w:sz w:val="20"/>
                <w:szCs w:val="20"/>
              </w:rPr>
              <w:t xml:space="preserve"> [Merged]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Chaitanya India Fin Credit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Creditaccess Grameen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Fusion Micro 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Jagaran Microfin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M Power Micro 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Madura Micro Finance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Margdarshak Financial Services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Muthoot Microfin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Navachetana Microfin Services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Pahal Financial Services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Saija 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Samasta Microfinance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Satin Creditcare Network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Shikhar Microfinance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Sonata 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Spandana Sphoorty Financial </w:t>
            </w:r>
            <w:r>
              <w:rPr>
                <w:rFonts w:ascii="Times New Roman" w:hAnsi="Times New Roman" w:cs="Times New Roman"/>
                <w:color w:val="000000"/>
                <w:sz w:val="20"/>
                <w:szCs w:val="20"/>
              </w:rPr>
              <w:t>Limited</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Svasti Microfinance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4133" w:type="dxa"/>
            <w:gridSpan w:val="2"/>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Svatantra Microfin </w:t>
            </w:r>
            <w:r>
              <w:rPr>
                <w:rFonts w:ascii="Times New Roman" w:hAnsi="Times New Roman" w:cs="Times New Roman"/>
                <w:color w:val="000000"/>
                <w:sz w:val="20"/>
                <w:szCs w:val="20"/>
              </w:rPr>
              <w:t>Private</w:t>
            </w:r>
            <w:r w:rsidRPr="00707A38">
              <w:rPr>
                <w:rFonts w:ascii="Times New Roman" w:hAnsi="Times New Roman" w:cs="Times New Roman"/>
                <w:color w:val="000000"/>
                <w:sz w:val="20"/>
                <w:szCs w:val="20"/>
              </w:rPr>
              <w:t xml:space="preserve"> L</w:t>
            </w:r>
            <w:r>
              <w:rPr>
                <w:rFonts w:ascii="Times New Roman" w:hAnsi="Times New Roman" w:cs="Times New Roman"/>
                <w:color w:val="000000"/>
                <w:sz w:val="20"/>
                <w:szCs w:val="20"/>
              </w:rPr>
              <w:t>imited</w:t>
            </w:r>
            <w:r w:rsidRPr="00707A38">
              <w:rPr>
                <w:rFonts w:ascii="Times New Roman" w:hAnsi="Times New Roman" w:cs="Times New Roman"/>
                <w:color w:val="000000"/>
                <w:sz w:val="20"/>
                <w:szCs w:val="20"/>
              </w:rPr>
              <w:t>.</w:t>
            </w:r>
          </w:p>
        </w:tc>
      </w:tr>
      <w:tr w:rsidR="00557B04" w:rsidRPr="00707A38" w:rsidTr="00557B04">
        <w:trPr>
          <w:trHeight w:val="317"/>
        </w:trPr>
        <w:tc>
          <w:tcPr>
            <w:tcW w:w="1621" w:type="dxa"/>
            <w:shd w:val="clear" w:color="auto" w:fill="auto"/>
            <w:noWrap/>
            <w:tcMar>
              <w:top w:w="15" w:type="dxa"/>
              <w:left w:w="15" w:type="dxa"/>
              <w:bottom w:w="0" w:type="dxa"/>
              <w:right w:w="15" w:type="dxa"/>
            </w:tcMar>
            <w:vAlign w:val="bottom"/>
          </w:tcPr>
          <w:p w:rsidR="00557B04" w:rsidRPr="00707A38" w:rsidRDefault="00557B04" w:rsidP="00CE39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4076" w:type="dxa"/>
            <w:shd w:val="clear" w:color="auto" w:fill="auto"/>
            <w:noWrap/>
            <w:tcMar>
              <w:top w:w="15" w:type="dxa"/>
              <w:left w:w="15" w:type="dxa"/>
              <w:bottom w:w="0" w:type="dxa"/>
              <w:right w:w="15" w:type="dxa"/>
            </w:tcMar>
            <w:vAlign w:val="center"/>
            <w:hideMark/>
          </w:tcPr>
          <w:p w:rsidR="00557B04" w:rsidRPr="00707A38" w:rsidRDefault="00557B04" w:rsidP="00CE3992">
            <w:pPr>
              <w:spacing w:after="0" w:line="240" w:lineRule="auto"/>
              <w:rPr>
                <w:rFonts w:ascii="Times New Roman" w:hAnsi="Times New Roman" w:cs="Times New Roman"/>
                <w:color w:val="000000"/>
                <w:sz w:val="20"/>
                <w:szCs w:val="20"/>
              </w:rPr>
            </w:pPr>
            <w:r w:rsidRPr="00707A38">
              <w:rPr>
                <w:rFonts w:ascii="Times New Roman" w:hAnsi="Times New Roman" w:cs="Times New Roman"/>
                <w:color w:val="000000"/>
                <w:sz w:val="20"/>
                <w:szCs w:val="20"/>
              </w:rPr>
              <w:t xml:space="preserve">Village </w:t>
            </w:r>
            <w:r>
              <w:rPr>
                <w:rFonts w:ascii="Times New Roman" w:hAnsi="Times New Roman" w:cs="Times New Roman"/>
                <w:color w:val="000000"/>
                <w:sz w:val="20"/>
                <w:szCs w:val="20"/>
              </w:rPr>
              <w:t>Financial Services  Limited</w:t>
            </w:r>
          </w:p>
        </w:tc>
        <w:tc>
          <w:tcPr>
            <w:tcW w:w="0" w:type="auto"/>
            <w:shd w:val="clear" w:color="auto" w:fill="auto"/>
            <w:noWrap/>
            <w:tcMar>
              <w:top w:w="15" w:type="dxa"/>
              <w:left w:w="15" w:type="dxa"/>
              <w:bottom w:w="0" w:type="dxa"/>
              <w:right w:w="15" w:type="dxa"/>
            </w:tcMar>
            <w:vAlign w:val="bottom"/>
            <w:hideMark/>
          </w:tcPr>
          <w:p w:rsidR="00557B04" w:rsidRPr="00707A38" w:rsidRDefault="00557B04" w:rsidP="00CE3992">
            <w:pPr>
              <w:spacing w:after="0"/>
              <w:rPr>
                <w:color w:val="000000"/>
              </w:rPr>
            </w:pPr>
          </w:p>
        </w:tc>
      </w:tr>
    </w:tbl>
    <w:p w:rsidR="00557B04" w:rsidRDefault="00557B04" w:rsidP="00557B04">
      <w:r>
        <w:t>Note: These are the selected NBFC-MFI for the study</w:t>
      </w:r>
    </w:p>
    <w:p w:rsidR="00707A38" w:rsidRDefault="00707A38" w:rsidP="00707A38">
      <w:pPr>
        <w:spacing w:line="480" w:lineRule="auto"/>
        <w:jc w:val="both"/>
        <w:rPr>
          <w:rFonts w:ascii="Times New Roman" w:hAnsi="Times New Roman" w:cs="Times New Roman"/>
          <w:sz w:val="24"/>
          <w:szCs w:val="24"/>
        </w:rPr>
      </w:pPr>
      <w:r w:rsidRPr="00707A38">
        <w:rPr>
          <w:rFonts w:ascii="Times New Roman" w:hAnsi="Times New Roman" w:cs="Times New Roman"/>
          <w:sz w:val="24"/>
          <w:szCs w:val="24"/>
        </w:rPr>
        <w:t xml:space="preserve"> </w:t>
      </w: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A13132" w:rsidRDefault="00A13132" w:rsidP="00A1313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References </w:t>
      </w:r>
    </w:p>
    <w:p w:rsid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Abeysekera, I. and Guthrie, J., 2005. An empirical investigation of annual reporting trends of intellectual capital in Sri Lanka. Critical Perspectives on accounting, 16(3), pp.151-163.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https://doi.org/10.1016/S1045-2354(03)00059-5</w:t>
      </w:r>
      <w:r w:rsidRPr="00A13132">
        <w:rPr>
          <w:rFonts w:ascii="Times New Roman" w:hAnsi="Times New Roman" w:cs="Times New Roman"/>
          <w:sz w:val="24"/>
          <w:szCs w:val="24"/>
          <w:highlight w:val="yellow"/>
        </w:rPr>
        <w:cr/>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Abeywardana, N.L.E. and Panditharathna, K.M., 2016. The extent and determinants of voluntary disclosures in annual reports: evidence from banking and finance companies in Sri Lanka. Accounting and Finance Research, 5(4), pp.147-162.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https://doi.org/10.5430/afr.v5n4p147</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Achabal, D., Heineke, J.M. and McIntyre, S.H., 1984. Issues and perspectives on retail productivity. Journal of Retailing, 60(3), pp.107-129. URL https://www.academia.edu/14494827/Issues_and_perspectives_on_retail_productivity</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Al-Akra, M., Eddie, I.A. and Ali, M.J., 2010. The influence of the introduction of accounting disclosure regulation on mandatory disclosure compliance: Evidence from Jordan. The British Accounting Review, 42(3), pp.170-186.</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https://doi.org/10.1016/j.bar.2010.04.001</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Al-Akra, M. and Hutchinson, P., 2013. Family firm disclosure and accounting regulation reform in the Middle East: The case of Jordan. Research in Accounting Regulation, 25(1), pp.101-107.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https://doi.org/10.1016/j.racreg.2012.11.003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Alotaibi, K.O. and Hussainey, K. (2016),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Determinants of CSR disclosure quantity and quality:</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evidence from non-financial listed firms in Saudi Arabia oa</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 International Journal of Disclosure</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and Governance, Vol. 13 No. 4, pp. 364-393, available at: https://doi.org/10.1057/jdg.2016.2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Alyousef, L., &amp; Alsughayer, S. (2021). The relationship between corporate governance and voluntary disclosure: The role of boards of directors and audit committees. Univers. J. Account. Financ, 9, 678-692.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https://doi.org/10.13189/ujaf.2021.090414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Banker, R.D., Charnes, A. and Cooper, W.W., 1984. Some models for estimating technical and scale inefficiencies in data envelopment analysis. Management science, 30(9), pp.1078-1092.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https://doi.org/10.1287/mnsc.30.9.1078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Baiman, S. and Verrecchia, R.E., 1996. The relation among capital markets, financial disclosure, production efficiency, and insider trading. Journal of accounting research, 34(1), pp.1-22.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https://doi.org/10.2307/2491329</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Basalamah, A.S. and Jermias, J., 2005. Social and environmental reporting and auditing in Indonesia: maintaining organizational legitimacy?. Gadjah Mada International Journal of Business, 7(1), pp.109-127.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https://doi.org/10.22146/gamaijb.5565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Barako, D.G., Hancock, P. and Izan, H.Y., 2006. Factors influencing voluntary corporate disclosure by Kenyan companies. Corporate Governance: an international review, 14(2), pp.107-125.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https://doi.org/10.1111/j.1467-8683.2006.00491.x</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Battese, G.E. and Coelli, T.J., 1995. A model for technical inefficiency effects in a stochastic frontier production function for panel data. Empirical economics, 20(2), pp.325-332.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https://doi.org/10.1007/BF01205442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Boesso, G. and Kumar, K., 2007. Drivers of corporate voluntary disclosure. Accounting, Auditing &amp; Accountability Journal.</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https://doi.org/10.1108/09513570710741028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Berger, A.N. and Udell, G.F., 1995. Relationship lending and lines of credit in small firm finance. Journal of business, pp.351-381.</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https://doi.org/10.1086/296668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Beyer, A., Cohen, D.A., Lys, T.Z. and Walther, B.R., 2010. The financial reporting environment: Review of the recent literature. Journal of accounting and economics, 50(2-3), pp.296-343.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https://doi.org/10.1016/j.jacceco.2010.10.003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Beattie, V., McInnes, B. and Fearnley, S., 2004, September. A methodology for analysing and evaluating narratives in annual reports: a comprehensive descriptive profile and metrics for disclosure quality attributes. In Accounting forum (Vol. 28, No. 3, pp. 205-236). No longer published by Elsevier.</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https://doi.org/10.1016/j.accfor.2004.07.001</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Botosan, C.A., 1997. Disclosure level and the cost of equity capital. Accounting review, pp.323-349. URL https://www.jstor.org/stable/248475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Buckland, R., Suwaidan, M. and Thomson, L., 2000. Companies' Voluntary Disclosure Behaviour and Raising Equity Capital in the Amman Financial Market. Research in accounting in emerging economies, 4, pp.247-266. URL https://abdn.pure.elsevier.com/en/publications/companies-voluntary-disclosure-behaviour-and-raising-equity-capit</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Camfferman, K. and Cooke, T.E., 2002. An analysis of disclosure in the annual reports of UK and Dutch companies. Journal of International Accounting Research, 1, p.3.Cooke, T.E., 1989. Disclosure in the corporate annual reports of Swedish companies. Accounting and business research, 19(74), pp.113-124.</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https://doi.org/10.1080/00014788.1989.9728841</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Caballer-Tarazona, M., Moya-Clemente, I., Vivas-Consuelo, D. and Barrachina-Martínez, I., 2010. A model to measure the efficiency of hospital performance. Mathematical and computer modelling, 52(7-8), pp.1095-1102.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https://doi.org/10.1016/j.mcm.2010.03.006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Cronbach, LJ, 1951. Coefficient alpha and the internal structure of tests. psychometrika, 16(3), pp.297-334.</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https://doi.org/10.1007/BF02310555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Charnes, A., Cooper, W.W. and Rhodes, E., 1978. Measuring the efficiency of decision making units. European journal of operational research, 2(6), pp.429-444.</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https://doi.org/10.1016/0377-2217(78)90138-8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Chau, G.K. and Gray, S.J., 2002. Ownership structure and corporate voluntary disclosure in Hong Kong and Singapore. The International journal of accounting, 37(2), pp.247-265.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https://doi.org/10.1016/S0020-7063(02)00153-X</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Charumathi, B. and Ramesh, L., 2015. On the determinants of voluntary disclosure by Indian companies. Asia-Pacific Journal of Management Research and Innovation, 11(2), pp.108-116.</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https://doi.org/10.1177/2319510X15576179</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Chen, J.J., Cheng, X., Gong, S.X. and Tan, Y., 2014. Do higher value firms voluntarily disclose more information? Evidence from China. The British Accounting Review, 46(1), pp.18-32.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https://doi.org/10.1016/j.bar.2013.06.003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Choi, F.D., 1973. Financial disclosure and entry to the European capital market. Journal of accounting research, pp.159-175.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https://doi.org/10.2307/2490187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Cooke, T. E. (1989). Voluntary corporate disclosure by Swedish companies. Journal of International Financial Management &amp; Accounting, 1(2), 171-195. https://doi.org/10.1111/j.1467-646X.1989.tb00009.x</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Drukker, D.M., 2003. Testing for serial correlation in linear panel-data models. The stata journal, 3(2), pp.168-177.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https://doi.org/10.1177/1536867X0300300206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Eng, LL and Mak, Y.T., 2003. Corporate governance and voluntary disclosure. Journal of accounting and public policy, 22(4), pp.325-345.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https://doi.org/10.1016/S0278-4254(03)00037-1</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Elfeky, M.I., 2017. The extent of voluntary disclosure and its determinants in emerging markets: Evidence from Egypt. The Journal of Finance and Data Science, 3(1-4), pp.45-59.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https://doi.org/10.1016/j.jfds.2017.09.005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Faisal, F., Tower, G., &amp; Rusmin, R. (2012). Legitimising corporate sustainability reporting throughout the world. Australasian Accounting, Business and Finance Journal, 6(2), 19-34. https://ro.uow.edu.au/aabfj/vol6/ iss2/3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Firer, C. and Meth, G., 1986. Information disclosure in annual reports in South Africa. Omega, 14(5), pp.373-382.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https://doi.org/10.1016/0305-0483(86)90078-2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Ferdousi, F., 2013, December. Performance of Microfinance Institutions in Asia: DEA based efficiency analysis. In 2013 International Conference on the Modern Development of Humanities and Social Science. Atlantis Press.</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https://doi.org/10.2991/mdhss-13.2013.23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Gadarowski, C. and Sinha, P., 2007. The efficacy of regulation fair disclosure. Available at SSRN 877207.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https://doi.org/10.2139/ssrn.877207</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Gutiérrez-Nieto, B., Serrano-Cinca, C. and Molinero, C.M., 2009. Social efficiency in microfinance institutions. Journal of the operational research society, 60(1), pp.104-119.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https://doi.org/10.1057/palgrave.jors.2602527</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Golany, B. and Storbeck, J.E., 1999. A data envelopment analysis of the operational efficiency of bank branches. Interfaces, 29(3), pp.14-26.</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https://doi.org/10.1287/inte.29.3.14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Goldstein, I. and Yang, L., 2019. Good disclosure, bad disclosure. Journal of Financial Economics, 131(1), pp.118-138.</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https://doi.org/10.1016/j.jfineco.2018.08.004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Hackston, D. and Milne, M.J., 1996. Some determinants of social and environmental disclosures in New Zealand companies. Accounting, auditing &amp; accountability journal.</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https://doi.org/10.1108/09513579610109987</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Htay, S.N.N., Aung, M.Z., Rashid, H.M.A. and Adnan, M.A., 2012. The impact of corporate governance on the voluntary accounting information disclosure in Malaysian listed banks. Global Review of Accounting and Finance, 3(2), pp.128-142.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https://doi.org/10.5296/ajfa.v4i1.810</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Han, B., Tang, Y. and Yang, L., 2016. Public information and uninformed trading: Implications for market liquidity and price efficiency. Journal of Economic Theory, 163, pp.604-643.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https://doi.org/10.1016/j.jet.2016.02.012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Hartarska, V. and Mersland, R., 2012. Which governance mechanisms promote efficiency in reaching poor clients? Evidence from rated microfinance institutions. European Financial Management, 18(2), pp.218-239.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https://doi.org/10.1111/j.1468-036X.2009.00524.x </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HAZAEA, S. A., TABASH, M. I., KHATIB, S. F., ZHU, J., &amp; AL-KUHALI, A. A. (2020). The impact of internal audit quality on financial performance of Yemeni commercial banks: an empirical investigation. The Journal of Asian Finance, Economics, and Business, 7(11), 867-875. doi:10.13106/jafeb.2020.vol7.no11.867</w:t>
      </w:r>
      <w:r w:rsidRPr="00A13132">
        <w:rPr>
          <w:rFonts w:ascii="Times New Roman" w:hAnsi="Times New Roman" w:cs="Times New Roman"/>
          <w:sz w:val="24"/>
          <w:szCs w:val="24"/>
          <w:highlight w:val="yellow"/>
        </w:rPr>
        <w:cr/>
      </w: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Healy, P.M. and Palepu, K.G., 2001. Information asymmetry, corporate disclosure, and the capital markets: A review of the empirical disclosure literature. Journal of accounting and economics, 31(1-3), pp.405-440.</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https://doi.org/10.1016/S0165-4101(01)00018-0</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Hermes, N., Lensink, R. and Meesters, A., 2018. Financial development and the efficiency of microfinance institutions. In Research Handbook on Small Business Social Responsibility. Edward Elgar Publishing. https://doi.org/10.4337/9781784711825.00017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Hermes, N., Lensink, R. and Meesters, A., 2011. Outreach and efficiency of microfinance institutions. World development, 39(6), pp.938-948.</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https://doi.org/10.1016/j.worlddev.2009.10.018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Hossain, M. and Hammami, H., 2009. Voluntary disclosure in the annual reports of an emerging country: The case of Qatar. Advances in Accounting, 25(2), pp.255-265.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https://doi.org/10.1016/j.adiac.2009.08.002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Hossain, M., &amp; Reaz, M. (2007). The determinants and characteristics of voluntary disclosure by Indian banking companies. Corporate Social Responsibility and Environmental Management, 14(5), 274-288. https://doi.org/10.1002/csr.154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Kassarjian, H.H., 1977. Content analysis in consumer research. Journal of consumer research, 4(1), pp.8-18.</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https://doi.org/10.1086/208674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Khatib, S. F., &amp; Nour, A. N. I. (2021). The impact of corporate governance on firm performance during the COVID-19 pandemic: evidence from Malaysia. Journal of Asian Finance, Economics and Business, 8(2), 0943-0952. doi:10.13106/jafeb.2021.vol8.no2.0943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Kavitha, D., &amp; Nandagopal, R. (2019). Impact of the busyness and board independence on the discretionary disclosures of Indian firms. International Journal of Law and Management. https://doi.org/10.1108/IJLMA-04-2018-0062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Khan, A. (2008). Tackling the failure of microfinance efforts through amalgamating microfinance with charity: two viable alternatives in the context of Pakistan. Australasian Accounting, Business and Finance Journal, 2(2), 19-33. Doi: 10.14453/aabfj.v2i2.2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https://doi.org/10.14453/aabfj.v2i2.2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Khan, A. A. (2008). Paradigm shift in the microfinance sector and its implications for theory development: empirical evidence from Pakistan. Australasian Accounting, Business and Finance Journal, 2(4), 6-33. doi:10.14453/aabfj.v2i4.2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https://doi.org/10.14453/aabfj.v2i4.2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Khan, A. (2011). Dictating Change, Shouting Success: Where is Accountability?. Australasian Accounting, Business and Finance Journal, 5(4), 85-100. URL https://ro.uow.edu.au/aabfj/vol5/ iss4/7</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Kumar, S. and Gulati, R., 2010. Measuring efficiency, effectiveness and performance of Indian public sector banks. International Journal of Productivity and Performance Management.</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https://doi.org/10.1108/17410401011006112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Louis, P., Seret, A. and Baesens, B., 2013. Financial efficiency and social impact of microfinance institutions using self-organizing maps. World Development, 46, pp.197-210.</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https://doi.org/10.1016/j.worlddev.2013.02.006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Md Zaini, SB, 2017. The level of voluntary disclosure by Malaysian listed family-controlled companies (Doctoral dissertation, University of Waikato). URL https://researchcommons.waikato.ac.nz/bitstream/handle/10289/10977/thesis.pdf?sequence=3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Mouzas, S., 2006. Efficiency versus effectiveness in business networks. Journal of Business Research, 59(10-11), pp.1124-1132.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https://doi.org/10.1016/j.jbusres.2006.09.018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Michels, J., 2012. Do unverifiable disclosures matter? Evidence from peer-to-peer lending. The Accounting Review, 87(4), pp.1385-1413.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https://doi.org/10.2308/accr-50159</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Ingram, R.W. and Frazier, K.B., 1983. Narrative disclosures in annual reports. Journal of Business Research, 11(1), pp.49-60.</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https://doi.org/10.1016/0148-2963(83)90038-3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Jaggi, B. and Freedman, M., 1982. An analysis of the informational content of pollution disclosures. Financial Review, 17(3), pp.142-152.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https://doi.org/10.1111/j.1540-6288.1982.tb00497.x</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Jensen, M.C. and Meckling, W.H., 1976. Theory of the firm: Managerial behavior, agency costs and ownership structure. Journal of financial economics, 3(4), pp.305-360.</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https://doi.org/10.1016/0304-405X(76)90026-X</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Jones, M.J. and Shoemaker, P.A., 1994. Accounting narratives: A review of empirical studies of content and readability. Journal of accounting literature, 13, p.142. URL https://www.proquest.com/openview/e6a9b341cb35264bfa683df5eb62f131/1</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Mersland, R. and Strøm, R.Ø., 2010. Microfinance mission drift?. World Development, 38(1), pp.28-36.</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https://doi.org/10.1016/j.worlddev.2009.05.006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Mondal, A. and Ghosh, S.K., 2014. Determinants of intellectual capital disclosure practices of Indian companies. Journal of Commerce and Accounting Research, 3(3). URL http://www.publishingindia.com/jcar/47/determinants-of-intellectual-capital-disclosure-practices-of-indian-companies/325/2371/</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Morduch, J., 2000. The microfinance schism. World development, 28(4), pp.617-629.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https://doi.org/10.1016/S0305-750X(99)00151-5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Nurhayati, R., Taylor, G. and Tower, G., 2015. Investigating social and environmental disclosure practices by listed Indian textile firms. The Journal of Developing Areas, 49(6), pp.361-372.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https://doi.org/10.1353/jda.2015.0109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Nyahas, S.I., Munene, J.C., Orobia, L. and Kaawaase, T.K. (2017),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Isomorphic influences and voluntary</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disclosure: the mediating role of organizational culture</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 Cogent Business and Management,</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Vol. 4 No. 1, p. 1351144, available at: https://doi.org/10.1080/23311975.2017.1351144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Petersen, M.A. and Rajan, R.G., 1994. The benefits of lending relationships: Evidence from small business data. The journal of finance, 49(1), pp.3-37.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https://doi.org/10.1111/j.1540-6261.1994.tb04418.x</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RBI 2011  Introduction of New Category of NBFCs -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Non Banking Financial Company-Micro Finance Institutions</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 xml:space="preserve"> (NBFC-MFIs) – Directions acceded on 24 December 2021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Reserve Bank of India - Notifications (rbi.org.in)</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RBI 2015 Master Circular- 'Non-Banking Financial Company-Micro Finance Institutions' (NBFC-MFIs) - Directions accessed on 1 march 2021 https://www.rbi.org.in/Scripts/BS_ViewMasCirculardetails.aspx?id=9827#I</w:t>
      </w: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RBI 2016 Master Direction - Non-Banking Financial Company - Systemically Important Non-Deposit taking Company and Deposit taking Company (Reserve Bank) Directions, 2016 accessed on 24 December 2021 45MD01092016B52D6E12D49F411DB63F67F2344A4E09.PDF (rbi.org.in)</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Raffournier, B., 1995. The determinants of voluntary financial disclosure by Swiss listed companies. European accounting review, 4(2), pp.261-280.</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https://doi.org/10.1080/09638189500000016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Ravallion, M., 2003. On measuring aggregate "social efficiency". The World Bank.</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https://doi.org/10.1596/1813-9450-3166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Quayes, S. 2012. Depth of outreach and financial sustainability of microfinance institutions. Applied Economics, 44(26), 3421-3433.</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https://doi.org/10.1080/00036846.2011.577016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Quayes, S. and Hasan, T., 2014. Financial disclosure and performance of microfinance institutions. Journal of Accounting &amp; Organizational Change.</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https://doi.org/10.1108/JAOC-12-2011-0067</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Sabui, A., &amp; Sharma, A. (2020). Efficiency and productivity of Indian Banks. Test Engineering and Management, 83, 5878-5885. URL: http://testmagzine.biz/index.php/testmagzine/article/view/8447/6385</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Sa- dhan 2019 (a) available at http://www.sa-dhan.net/wp-content/uploads/2020/07/BMR-2019-Part1-Chater-1.pdf accessed on 25 February 2020</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Scaltrito, D. (2016). Voluntary disclosure in Italy: Firm-specific determinants an empirical analysis of Italian listed companies. EuroMed Journal of Business. DOI 10.1108/EMJB-07-2015-0032</w:t>
      </w: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Singhvi, SS and Desai, H.B., 1971. An empirical analysis of the quality of corporate financial disclosure. The Accounting Review, 46(1), pp.129-138. URL : https://www.jstor.org/stable/243894</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Situ, H., Tilt, C. and Seet, P.S. (2020),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The influence of the chinese government</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s political ideology in</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the field of corporate environmental reporting</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 Accounting, Auditing and Accountability</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Journal, Vol. 34 No. 9, available at: https://doi.org/10.1108/AAAJ-09-2016-2697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Sharma, A., &amp; Rastogi, S. (2021). Impact of Efficiency on Voluntary Disclosure of Non-Banking Financial Company—Microfinance Institutions in India. Journal of Risk and Financial Management, 14(7), 289.https://doi.org/10.3390/jrfm14070289</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Sharma, A., Rastogi, S., &amp; Gupta, N. (2020). Financial efficiency of non-banking financial companies-microfinance institutions: A data envelopment analysis. Test Engineering and Management, 83, 9080-9091. URL: http://testmagzine.biz/index.php/testmagzine/article/view/8886/6762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Stanga, K.G., 1976. Disclosure in published annual reports. Financial management, pp.42-52.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https://doi.org/10.2307/3665456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Solikhah, Badingatus, An Overview of Legitimacy Theory on the Influence of Company Size and Industry Sensitivity towards CSR Disclosure (2016). International Journal of Applied Business and Economic Research (IJABER). Vol. 14, No. 5, p. 3013-3023, 2016, Available at SSRN: https://ssrn.com/abstract=2893283.</w:t>
      </w: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Soliman, M., 2013. Firm characteristics and the extent of voluntary disclosure: the case of Egypt. Research Journal of Finance and Accounting, 4(17).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https://doi.org/10.2139/ssrn.2311005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Suarez-Rico, Y.M., Gomez-Villegas, M. and García-Benau, M.A. (2018),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Exploring twitter for CSR</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disclosure: influence of CEO and firm characteristics in Latin American companies</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Sustainability ( Sustainability, ), Vol. 10 No. 8, available at: https://doi.org/10.3390/su10082617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Tran, M. and Beddewela, E. (2020),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Does context matter for sustainability disclosure? Institutional</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factors in southeast asia</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 Business Ethics: A European Review, Vol. 29 No. 2, pp. 282-302,</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available at: https://doi.org/10.1111/beer.12265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Tsang, E.W., 1998. A longitudinal study of corporate social reporting in Singapore. Accounting, Auditing &amp; Accountability Journal.</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https://doi.org/10.1108/09513579810239873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Otero, M. and Rhyne, E., 1994. The New world of microenterprise finance; building healthy financial institutions for the poor (No. 332.1091724 N532). Kumarian Press. URL https://www.jstor.org/stable/40228671</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Owusu-Ansah, S., 1998. The impact of corporate attribites on the extent of mandatory disclosure and reporting by listed companies in Zimbabwe. The International Journal of Accounting, 33(5), pp.605-631.</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https://doi.org/10.1016/S0020-7063(98)90015-2</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Weber, R.P., 1990. Basic content analysis (No. 49). Sage.</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https://doi.org/10.4135/9781412983488</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Wooldridge, J.M., 2010. Econometric analysis of cross section and panel data. MIT press. URL</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https://ipcig.org/evaluation/apoio/Wooldridge%20-%20Cross-section%20and%20Panel%20Data.pdf</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Verrecchia, RE, 1983. Discretionary disclosure. Journal of accounting and economics, 5, pp.179-194.</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https://doi.org/10.1016/0165-4101(83)90011-3</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Von Pischke, JD, 1996. Measuring the trade‐off between outreach and sustainability of microenterprise lenders. Journal of International Development, 8(2), pp.225-239.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https://doi.org/10.1002/(SICI)1099-1328(199603)8:2&lt;225::AID-JID370&gt;3.0.CO;2-6</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Ullman, A., 1985. Data in search of a theory: A critical examination of the relationship among social disclosure and economic performance measures. Academy of Management Review, 19(3), pp.30-39.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https://doi.org/10.2307/258135</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Wang, J., Song, L. and Yao, S. (2013), </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The determinants of corporate social responsibility disclosure:</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evidence from China</w:t>
      </w:r>
      <w:r w:rsidR="00CB36E1">
        <w:rPr>
          <w:rFonts w:ascii="Times New Roman" w:hAnsi="Times New Roman" w:cs="Times New Roman"/>
          <w:sz w:val="24"/>
          <w:szCs w:val="24"/>
          <w:highlight w:val="yellow"/>
        </w:rPr>
        <w:t>"</w:t>
      </w:r>
      <w:r w:rsidRPr="00A13132">
        <w:rPr>
          <w:rFonts w:ascii="Times New Roman" w:hAnsi="Times New Roman" w:cs="Times New Roman"/>
          <w:sz w:val="24"/>
          <w:szCs w:val="24"/>
          <w:highlight w:val="yellow"/>
        </w:rPr>
        <w:t>, Journal of Applied Business Research (Jabr), Vol. 29 No. 6, pp. 1833-1847,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available at: https://doi.org/10.19030/jabr.v29i6.8220</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Widiarto, I. and Emrouznejad, A., 2015. Social and financial efficiency of Islamic microfinance institutions: A Data Envelopment Analysis application. Socio-Economic Planning Sciences, 50, pp.1-17.</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https://doi.org/10.1016/j.seps.2014.12.001</w:t>
      </w:r>
    </w:p>
    <w:p w:rsidR="00A13132" w:rsidRPr="00A13132" w:rsidRDefault="00A13132" w:rsidP="00A13132">
      <w:pPr>
        <w:spacing w:after="0" w:line="240" w:lineRule="auto"/>
        <w:jc w:val="both"/>
        <w:rPr>
          <w:rFonts w:ascii="Times New Roman" w:hAnsi="Times New Roman" w:cs="Times New Roman"/>
          <w:sz w:val="24"/>
          <w:szCs w:val="24"/>
          <w:highlight w:val="yellow"/>
        </w:rPr>
      </w:pP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Zaini, S.M., Samkin, G., Sharma, U. and Davey, H., 2018. Voluntary disclosure in emerging countries: a literature review. Journal of Accounting in Emerging Economies. Doi: https://doi.org/10.1108/JAEE-08-2016-0069</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ab/>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 xml:space="preserve"> </w:t>
      </w:r>
    </w:p>
    <w:p w:rsidR="00A13132" w:rsidRPr="00A13132" w:rsidRDefault="00A13132" w:rsidP="00A13132">
      <w:pPr>
        <w:spacing w:after="0" w:line="240" w:lineRule="auto"/>
        <w:jc w:val="both"/>
        <w:rPr>
          <w:rFonts w:ascii="Times New Roman" w:hAnsi="Times New Roman" w:cs="Times New Roman"/>
          <w:sz w:val="24"/>
          <w:szCs w:val="24"/>
          <w:highlight w:val="yellow"/>
        </w:rPr>
      </w:pPr>
      <w:r w:rsidRPr="00A13132">
        <w:rPr>
          <w:rFonts w:ascii="Times New Roman" w:hAnsi="Times New Roman" w:cs="Times New Roman"/>
          <w:sz w:val="24"/>
          <w:szCs w:val="24"/>
          <w:highlight w:val="yellow"/>
        </w:rPr>
        <w:t>Zamil, I. A., Ramakrishnan, S., Jamal, N. M., Hatif, M. A., &amp; Khatib, S. F. (2021). Drivers of corporate voluntary disclosure: a systematic review. Journal of Financial Reporting and Accounting.</w:t>
      </w:r>
    </w:p>
    <w:p w:rsidR="00A13132" w:rsidRPr="00A13132" w:rsidRDefault="00A13132" w:rsidP="00A13132">
      <w:pPr>
        <w:spacing w:after="0" w:line="240" w:lineRule="auto"/>
        <w:jc w:val="both"/>
        <w:rPr>
          <w:rFonts w:ascii="Times New Roman" w:hAnsi="Times New Roman" w:cs="Times New Roman"/>
          <w:sz w:val="24"/>
          <w:szCs w:val="24"/>
        </w:rPr>
      </w:pPr>
      <w:r w:rsidRPr="00A13132">
        <w:rPr>
          <w:rFonts w:ascii="Times New Roman" w:hAnsi="Times New Roman" w:cs="Times New Roman"/>
          <w:sz w:val="24"/>
          <w:szCs w:val="24"/>
          <w:highlight w:val="yellow"/>
        </w:rPr>
        <w:t>https://doi.org/10.1108/JFRA-04-2021-0110</w:t>
      </w:r>
    </w:p>
    <w:p w:rsidR="00A13132" w:rsidRPr="00A13132" w:rsidRDefault="00A13132" w:rsidP="00A13132">
      <w:pPr>
        <w:spacing w:after="0" w:line="240" w:lineRule="auto"/>
        <w:jc w:val="both"/>
        <w:rPr>
          <w:rFonts w:ascii="Times New Roman" w:hAnsi="Times New Roman" w:cs="Times New Roman"/>
          <w:sz w:val="24"/>
          <w:szCs w:val="24"/>
        </w:rPr>
      </w:pPr>
    </w:p>
    <w:p w:rsidR="00A13132" w:rsidRPr="00A13132" w:rsidRDefault="00A13132" w:rsidP="00A13132">
      <w:pPr>
        <w:spacing w:after="0" w:line="240" w:lineRule="auto"/>
        <w:jc w:val="both"/>
        <w:rPr>
          <w:rFonts w:ascii="Times New Roman" w:hAnsi="Times New Roman" w:cs="Times New Roman"/>
          <w:sz w:val="24"/>
          <w:szCs w:val="24"/>
        </w:rPr>
      </w:pPr>
      <w:r w:rsidRPr="00A13132">
        <w:rPr>
          <w:rFonts w:ascii="Times New Roman" w:hAnsi="Times New Roman" w:cs="Times New Roman"/>
          <w:sz w:val="24"/>
          <w:szCs w:val="24"/>
        </w:rPr>
        <w:t xml:space="preserve"> </w:t>
      </w: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7A5DEB" w:rsidRDefault="007A5DEB" w:rsidP="00707A38">
      <w:pPr>
        <w:spacing w:line="480" w:lineRule="auto"/>
        <w:jc w:val="both"/>
        <w:rPr>
          <w:rFonts w:ascii="Times New Roman" w:hAnsi="Times New Roman" w:cs="Times New Roman"/>
          <w:sz w:val="24"/>
          <w:szCs w:val="24"/>
        </w:rPr>
      </w:pPr>
    </w:p>
    <w:p w:rsidR="0053006C" w:rsidRDefault="0053006C" w:rsidP="00707A38">
      <w:pPr>
        <w:spacing w:line="480" w:lineRule="auto"/>
        <w:jc w:val="both"/>
        <w:rPr>
          <w:rFonts w:ascii="Times New Roman" w:hAnsi="Times New Roman" w:cs="Times New Roman"/>
          <w:sz w:val="24"/>
          <w:szCs w:val="24"/>
        </w:rPr>
      </w:pPr>
    </w:p>
    <w:p w:rsidR="0053006C" w:rsidRDefault="0053006C" w:rsidP="00707A38">
      <w:pPr>
        <w:spacing w:line="480" w:lineRule="auto"/>
        <w:jc w:val="both"/>
        <w:rPr>
          <w:rFonts w:ascii="Times New Roman" w:hAnsi="Times New Roman" w:cs="Times New Roman"/>
          <w:sz w:val="24"/>
          <w:szCs w:val="24"/>
        </w:rPr>
      </w:pPr>
    </w:p>
    <w:p w:rsidR="0053006C" w:rsidRDefault="0053006C" w:rsidP="00707A38">
      <w:pPr>
        <w:spacing w:line="480" w:lineRule="auto"/>
        <w:jc w:val="both"/>
        <w:rPr>
          <w:rFonts w:ascii="Times New Roman" w:hAnsi="Times New Roman" w:cs="Times New Roman"/>
          <w:sz w:val="24"/>
          <w:szCs w:val="24"/>
        </w:rPr>
      </w:pPr>
    </w:p>
    <w:p w:rsidR="0053006C" w:rsidRDefault="0053006C" w:rsidP="00707A38">
      <w:pPr>
        <w:spacing w:line="480" w:lineRule="auto"/>
        <w:jc w:val="both"/>
        <w:rPr>
          <w:rFonts w:ascii="Times New Roman" w:hAnsi="Times New Roman" w:cs="Times New Roman"/>
          <w:sz w:val="24"/>
          <w:szCs w:val="24"/>
        </w:rPr>
      </w:pPr>
    </w:p>
    <w:p w:rsidR="0053006C" w:rsidRDefault="0053006C" w:rsidP="00707A38">
      <w:pPr>
        <w:spacing w:line="480" w:lineRule="auto"/>
        <w:jc w:val="both"/>
        <w:rPr>
          <w:rFonts w:ascii="Times New Roman" w:hAnsi="Times New Roman" w:cs="Times New Roman"/>
          <w:sz w:val="24"/>
          <w:szCs w:val="24"/>
        </w:rPr>
      </w:pPr>
    </w:p>
    <w:sectPr w:rsidR="0053006C" w:rsidSect="00BC1F2B">
      <w:footerReference w:type="default" r:id="rId7"/>
      <w:pgSz w:w="11906" w:h="16838"/>
      <w:pgMar w:top="993"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4E7" w:rsidRDefault="003214E7">
      <w:pPr>
        <w:spacing w:after="0" w:line="240" w:lineRule="auto"/>
      </w:pPr>
      <w:r>
        <w:separator/>
      </w:r>
    </w:p>
  </w:endnote>
  <w:endnote w:type="continuationSeparator" w:id="0">
    <w:p w:rsidR="003214E7" w:rsidRDefault="0032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92" w:rsidRDefault="00CE39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4E7" w:rsidRDefault="003214E7">
      <w:pPr>
        <w:spacing w:after="0" w:line="240" w:lineRule="auto"/>
      </w:pPr>
      <w:r>
        <w:separator/>
      </w:r>
    </w:p>
  </w:footnote>
  <w:footnote w:type="continuationSeparator" w:id="0">
    <w:p w:rsidR="003214E7" w:rsidRDefault="00321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5C4"/>
    <w:multiLevelType w:val="hybridMultilevel"/>
    <w:tmpl w:val="D4CC4B8A"/>
    <w:lvl w:ilvl="0" w:tplc="A5BCC4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EE04A4"/>
    <w:multiLevelType w:val="hybridMultilevel"/>
    <w:tmpl w:val="0B6A3A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2E7A03"/>
    <w:multiLevelType w:val="hybridMultilevel"/>
    <w:tmpl w:val="767266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9E293D"/>
    <w:multiLevelType w:val="hybridMultilevel"/>
    <w:tmpl w:val="FE7C99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265B35"/>
    <w:multiLevelType w:val="hybridMultilevel"/>
    <w:tmpl w:val="8B06D670"/>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6F178F"/>
    <w:multiLevelType w:val="multilevel"/>
    <w:tmpl w:val="CC08D74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EE3EE1"/>
    <w:multiLevelType w:val="multilevel"/>
    <w:tmpl w:val="0BD8CE1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E070A7"/>
    <w:multiLevelType w:val="multilevel"/>
    <w:tmpl w:val="6934805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E760B5"/>
    <w:multiLevelType w:val="hybridMultilevel"/>
    <w:tmpl w:val="443291A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A60146"/>
    <w:multiLevelType w:val="hybridMultilevel"/>
    <w:tmpl w:val="2940C622"/>
    <w:lvl w:ilvl="0" w:tplc="8B5829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A4F5EF1"/>
    <w:multiLevelType w:val="hybridMultilevel"/>
    <w:tmpl w:val="342A7E28"/>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592848"/>
    <w:multiLevelType w:val="multilevel"/>
    <w:tmpl w:val="29C036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6659F2"/>
    <w:multiLevelType w:val="multilevel"/>
    <w:tmpl w:val="E60C1E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647527"/>
    <w:multiLevelType w:val="multilevel"/>
    <w:tmpl w:val="A81234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4AD546C"/>
    <w:multiLevelType w:val="multilevel"/>
    <w:tmpl w:val="084455B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37217D"/>
    <w:multiLevelType w:val="multilevel"/>
    <w:tmpl w:val="BF6C3F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7"/>
  </w:num>
  <w:num w:numId="4">
    <w:abstractNumId w:val="3"/>
  </w:num>
  <w:num w:numId="5">
    <w:abstractNumId w:val="13"/>
  </w:num>
  <w:num w:numId="6">
    <w:abstractNumId w:val="4"/>
  </w:num>
  <w:num w:numId="7">
    <w:abstractNumId w:val="1"/>
  </w:num>
  <w:num w:numId="8">
    <w:abstractNumId w:val="12"/>
  </w:num>
  <w:num w:numId="9">
    <w:abstractNumId w:val="11"/>
  </w:num>
  <w:num w:numId="10">
    <w:abstractNumId w:val="6"/>
  </w:num>
  <w:num w:numId="11">
    <w:abstractNumId w:val="8"/>
  </w:num>
  <w:num w:numId="12">
    <w:abstractNumId w:val="0"/>
  </w:num>
  <w:num w:numId="13">
    <w:abstractNumId w:val="9"/>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tTQ0NzQztDCxNDdU0lEKTi0uzszPAykwMqgFAKzdkDstAAAA"/>
  </w:docVars>
  <w:rsids>
    <w:rsidRoot w:val="00D7718C"/>
    <w:rsid w:val="000046A7"/>
    <w:rsid w:val="00010C86"/>
    <w:rsid w:val="0001290C"/>
    <w:rsid w:val="0001377B"/>
    <w:rsid w:val="0002040B"/>
    <w:rsid w:val="0002163C"/>
    <w:rsid w:val="00024CA7"/>
    <w:rsid w:val="000251FC"/>
    <w:rsid w:val="000262F9"/>
    <w:rsid w:val="00032F41"/>
    <w:rsid w:val="0003361A"/>
    <w:rsid w:val="00037030"/>
    <w:rsid w:val="00041863"/>
    <w:rsid w:val="0004732A"/>
    <w:rsid w:val="00052BBE"/>
    <w:rsid w:val="00053045"/>
    <w:rsid w:val="0005356D"/>
    <w:rsid w:val="00055005"/>
    <w:rsid w:val="00056221"/>
    <w:rsid w:val="00057513"/>
    <w:rsid w:val="00060A65"/>
    <w:rsid w:val="000647F3"/>
    <w:rsid w:val="00066A83"/>
    <w:rsid w:val="00067E8E"/>
    <w:rsid w:val="000729ED"/>
    <w:rsid w:val="0008008E"/>
    <w:rsid w:val="00080E69"/>
    <w:rsid w:val="00087B78"/>
    <w:rsid w:val="00095BF3"/>
    <w:rsid w:val="0009616B"/>
    <w:rsid w:val="00097AB4"/>
    <w:rsid w:val="000B2F0A"/>
    <w:rsid w:val="000B56E4"/>
    <w:rsid w:val="000C1A34"/>
    <w:rsid w:val="000C6929"/>
    <w:rsid w:val="000D312F"/>
    <w:rsid w:val="000E00BB"/>
    <w:rsid w:val="000E0874"/>
    <w:rsid w:val="000E3A72"/>
    <w:rsid w:val="000E3E2C"/>
    <w:rsid w:val="000F0CE0"/>
    <w:rsid w:val="000F45C4"/>
    <w:rsid w:val="000F5795"/>
    <w:rsid w:val="000F786F"/>
    <w:rsid w:val="00104CC1"/>
    <w:rsid w:val="001078CF"/>
    <w:rsid w:val="00107E20"/>
    <w:rsid w:val="0011445E"/>
    <w:rsid w:val="00131AA8"/>
    <w:rsid w:val="00132E43"/>
    <w:rsid w:val="00140815"/>
    <w:rsid w:val="0014272C"/>
    <w:rsid w:val="00144184"/>
    <w:rsid w:val="00145CFD"/>
    <w:rsid w:val="001626E6"/>
    <w:rsid w:val="001641D3"/>
    <w:rsid w:val="00164738"/>
    <w:rsid w:val="001662DF"/>
    <w:rsid w:val="00166A11"/>
    <w:rsid w:val="0017228E"/>
    <w:rsid w:val="00173DCF"/>
    <w:rsid w:val="00177477"/>
    <w:rsid w:val="00185F37"/>
    <w:rsid w:val="00187994"/>
    <w:rsid w:val="001903B4"/>
    <w:rsid w:val="001936A8"/>
    <w:rsid w:val="00195B75"/>
    <w:rsid w:val="00196796"/>
    <w:rsid w:val="001A178F"/>
    <w:rsid w:val="001A7458"/>
    <w:rsid w:val="001B2132"/>
    <w:rsid w:val="001C36AE"/>
    <w:rsid w:val="001C77C1"/>
    <w:rsid w:val="001D5002"/>
    <w:rsid w:val="001E5388"/>
    <w:rsid w:val="001E6CC5"/>
    <w:rsid w:val="001F10AC"/>
    <w:rsid w:val="001F3C74"/>
    <w:rsid w:val="001F591C"/>
    <w:rsid w:val="001F7F1C"/>
    <w:rsid w:val="0020330A"/>
    <w:rsid w:val="00203D85"/>
    <w:rsid w:val="002066D3"/>
    <w:rsid w:val="002107CC"/>
    <w:rsid w:val="00214F24"/>
    <w:rsid w:val="002153E8"/>
    <w:rsid w:val="002236BD"/>
    <w:rsid w:val="00226E4E"/>
    <w:rsid w:val="00227D38"/>
    <w:rsid w:val="00232E22"/>
    <w:rsid w:val="00241090"/>
    <w:rsid w:val="002430CD"/>
    <w:rsid w:val="002501F6"/>
    <w:rsid w:val="00263007"/>
    <w:rsid w:val="00274D5E"/>
    <w:rsid w:val="002757A7"/>
    <w:rsid w:val="00285F73"/>
    <w:rsid w:val="00287A18"/>
    <w:rsid w:val="0029250B"/>
    <w:rsid w:val="002A0E2C"/>
    <w:rsid w:val="002A1A2E"/>
    <w:rsid w:val="002A362A"/>
    <w:rsid w:val="002B3524"/>
    <w:rsid w:val="002B406F"/>
    <w:rsid w:val="002B518B"/>
    <w:rsid w:val="002C2588"/>
    <w:rsid w:val="002D11C2"/>
    <w:rsid w:val="002D383D"/>
    <w:rsid w:val="002D567D"/>
    <w:rsid w:val="002E3E06"/>
    <w:rsid w:val="003040A2"/>
    <w:rsid w:val="003113CF"/>
    <w:rsid w:val="00315214"/>
    <w:rsid w:val="00315B3C"/>
    <w:rsid w:val="003214E7"/>
    <w:rsid w:val="003303E5"/>
    <w:rsid w:val="00336162"/>
    <w:rsid w:val="00343F79"/>
    <w:rsid w:val="003554DC"/>
    <w:rsid w:val="00355C22"/>
    <w:rsid w:val="00356184"/>
    <w:rsid w:val="00361E9B"/>
    <w:rsid w:val="0036381A"/>
    <w:rsid w:val="003745AA"/>
    <w:rsid w:val="00382A82"/>
    <w:rsid w:val="0039038B"/>
    <w:rsid w:val="00395BC4"/>
    <w:rsid w:val="00396BFF"/>
    <w:rsid w:val="003A365C"/>
    <w:rsid w:val="003B377C"/>
    <w:rsid w:val="003C1869"/>
    <w:rsid w:val="003C3A9F"/>
    <w:rsid w:val="003C3DDE"/>
    <w:rsid w:val="003D0C53"/>
    <w:rsid w:val="003D37F6"/>
    <w:rsid w:val="003E0420"/>
    <w:rsid w:val="003E378A"/>
    <w:rsid w:val="003F016A"/>
    <w:rsid w:val="003F47FC"/>
    <w:rsid w:val="00414D3D"/>
    <w:rsid w:val="00416E9D"/>
    <w:rsid w:val="0043014E"/>
    <w:rsid w:val="004406DC"/>
    <w:rsid w:val="00440DB1"/>
    <w:rsid w:val="00444472"/>
    <w:rsid w:val="004467C2"/>
    <w:rsid w:val="00447BCC"/>
    <w:rsid w:val="0045155D"/>
    <w:rsid w:val="00455AF6"/>
    <w:rsid w:val="00455FC0"/>
    <w:rsid w:val="00467A88"/>
    <w:rsid w:val="0047109B"/>
    <w:rsid w:val="00471DA2"/>
    <w:rsid w:val="00475E79"/>
    <w:rsid w:val="00480EF7"/>
    <w:rsid w:val="00483540"/>
    <w:rsid w:val="00484780"/>
    <w:rsid w:val="004A7ED0"/>
    <w:rsid w:val="004B07A7"/>
    <w:rsid w:val="004B324B"/>
    <w:rsid w:val="004B389A"/>
    <w:rsid w:val="004B7371"/>
    <w:rsid w:val="004C0FD6"/>
    <w:rsid w:val="004D4F7F"/>
    <w:rsid w:val="004E3DA4"/>
    <w:rsid w:val="004E3F3A"/>
    <w:rsid w:val="004F3D27"/>
    <w:rsid w:val="005008C8"/>
    <w:rsid w:val="00506A94"/>
    <w:rsid w:val="005179D7"/>
    <w:rsid w:val="00517A4C"/>
    <w:rsid w:val="0052106F"/>
    <w:rsid w:val="00522A9E"/>
    <w:rsid w:val="00523DBE"/>
    <w:rsid w:val="00524464"/>
    <w:rsid w:val="0053006C"/>
    <w:rsid w:val="00536DA8"/>
    <w:rsid w:val="00542912"/>
    <w:rsid w:val="0054439F"/>
    <w:rsid w:val="00557B04"/>
    <w:rsid w:val="00561070"/>
    <w:rsid w:val="00563A89"/>
    <w:rsid w:val="00572696"/>
    <w:rsid w:val="0058121F"/>
    <w:rsid w:val="00586DEE"/>
    <w:rsid w:val="0059447B"/>
    <w:rsid w:val="005A1F07"/>
    <w:rsid w:val="005A6660"/>
    <w:rsid w:val="005B462A"/>
    <w:rsid w:val="005B6C08"/>
    <w:rsid w:val="005B7560"/>
    <w:rsid w:val="005C0B1E"/>
    <w:rsid w:val="005C3CA7"/>
    <w:rsid w:val="005C58F5"/>
    <w:rsid w:val="005C6AFB"/>
    <w:rsid w:val="005D100B"/>
    <w:rsid w:val="005D7C2F"/>
    <w:rsid w:val="005E7075"/>
    <w:rsid w:val="005E7533"/>
    <w:rsid w:val="005F1269"/>
    <w:rsid w:val="005F15DD"/>
    <w:rsid w:val="005F2D3B"/>
    <w:rsid w:val="005F4E49"/>
    <w:rsid w:val="005F7142"/>
    <w:rsid w:val="00600512"/>
    <w:rsid w:val="0060779D"/>
    <w:rsid w:val="00612F56"/>
    <w:rsid w:val="00613BC8"/>
    <w:rsid w:val="00621D9A"/>
    <w:rsid w:val="00624F38"/>
    <w:rsid w:val="00625B02"/>
    <w:rsid w:val="0063174C"/>
    <w:rsid w:val="006439F9"/>
    <w:rsid w:val="006471A1"/>
    <w:rsid w:val="006479DF"/>
    <w:rsid w:val="00652C3F"/>
    <w:rsid w:val="00656793"/>
    <w:rsid w:val="00663430"/>
    <w:rsid w:val="00664D92"/>
    <w:rsid w:val="00680ABF"/>
    <w:rsid w:val="00695F78"/>
    <w:rsid w:val="006A6B7A"/>
    <w:rsid w:val="006B4873"/>
    <w:rsid w:val="006B6354"/>
    <w:rsid w:val="006D1867"/>
    <w:rsid w:val="006E6D38"/>
    <w:rsid w:val="006E74E8"/>
    <w:rsid w:val="006F2BC6"/>
    <w:rsid w:val="006F6FDB"/>
    <w:rsid w:val="0070743C"/>
    <w:rsid w:val="00707A38"/>
    <w:rsid w:val="0071188F"/>
    <w:rsid w:val="007150C9"/>
    <w:rsid w:val="00716498"/>
    <w:rsid w:val="00724635"/>
    <w:rsid w:val="00724A23"/>
    <w:rsid w:val="00732218"/>
    <w:rsid w:val="00735A46"/>
    <w:rsid w:val="00736695"/>
    <w:rsid w:val="007369EB"/>
    <w:rsid w:val="00737F2E"/>
    <w:rsid w:val="00740A61"/>
    <w:rsid w:val="007443D1"/>
    <w:rsid w:val="00745998"/>
    <w:rsid w:val="00757E30"/>
    <w:rsid w:val="00767EA6"/>
    <w:rsid w:val="0077113C"/>
    <w:rsid w:val="00773ABF"/>
    <w:rsid w:val="007766C8"/>
    <w:rsid w:val="0078384B"/>
    <w:rsid w:val="00786258"/>
    <w:rsid w:val="00795A98"/>
    <w:rsid w:val="00797239"/>
    <w:rsid w:val="007A168F"/>
    <w:rsid w:val="007A5DEB"/>
    <w:rsid w:val="007A6BBA"/>
    <w:rsid w:val="007C27BB"/>
    <w:rsid w:val="007C4A09"/>
    <w:rsid w:val="007D23D0"/>
    <w:rsid w:val="007D4665"/>
    <w:rsid w:val="007E0FAC"/>
    <w:rsid w:val="007F1378"/>
    <w:rsid w:val="007F434E"/>
    <w:rsid w:val="00801A68"/>
    <w:rsid w:val="00813353"/>
    <w:rsid w:val="008138FE"/>
    <w:rsid w:val="00822183"/>
    <w:rsid w:val="00825D15"/>
    <w:rsid w:val="0083187D"/>
    <w:rsid w:val="008537EB"/>
    <w:rsid w:val="00855259"/>
    <w:rsid w:val="00856227"/>
    <w:rsid w:val="008672B9"/>
    <w:rsid w:val="00871559"/>
    <w:rsid w:val="008724FE"/>
    <w:rsid w:val="00884629"/>
    <w:rsid w:val="008924A6"/>
    <w:rsid w:val="008927F7"/>
    <w:rsid w:val="00893675"/>
    <w:rsid w:val="00894B02"/>
    <w:rsid w:val="0089792E"/>
    <w:rsid w:val="008A0D47"/>
    <w:rsid w:val="008A52D1"/>
    <w:rsid w:val="008A610A"/>
    <w:rsid w:val="008A7E3E"/>
    <w:rsid w:val="008B3978"/>
    <w:rsid w:val="008C31DE"/>
    <w:rsid w:val="008C4038"/>
    <w:rsid w:val="008C640B"/>
    <w:rsid w:val="008D05AB"/>
    <w:rsid w:val="008D0F2C"/>
    <w:rsid w:val="008D4F33"/>
    <w:rsid w:val="008E2D78"/>
    <w:rsid w:val="008F10E7"/>
    <w:rsid w:val="008F2AB5"/>
    <w:rsid w:val="008F7228"/>
    <w:rsid w:val="00906886"/>
    <w:rsid w:val="00912FD9"/>
    <w:rsid w:val="009145A9"/>
    <w:rsid w:val="00917FFD"/>
    <w:rsid w:val="0092145F"/>
    <w:rsid w:val="009250C0"/>
    <w:rsid w:val="00926D58"/>
    <w:rsid w:val="0093338D"/>
    <w:rsid w:val="00940C50"/>
    <w:rsid w:val="00942642"/>
    <w:rsid w:val="00943869"/>
    <w:rsid w:val="009475B4"/>
    <w:rsid w:val="009506F5"/>
    <w:rsid w:val="00951636"/>
    <w:rsid w:val="009573D2"/>
    <w:rsid w:val="00960898"/>
    <w:rsid w:val="00960A4C"/>
    <w:rsid w:val="009610BB"/>
    <w:rsid w:val="009612B7"/>
    <w:rsid w:val="00961F96"/>
    <w:rsid w:val="009724F4"/>
    <w:rsid w:val="00973721"/>
    <w:rsid w:val="00975641"/>
    <w:rsid w:val="00977FD4"/>
    <w:rsid w:val="009864A0"/>
    <w:rsid w:val="00986F1B"/>
    <w:rsid w:val="009878E6"/>
    <w:rsid w:val="009A5067"/>
    <w:rsid w:val="009B24F0"/>
    <w:rsid w:val="009B30E1"/>
    <w:rsid w:val="009C25A4"/>
    <w:rsid w:val="009C2CC7"/>
    <w:rsid w:val="009D05A2"/>
    <w:rsid w:val="009D3EB9"/>
    <w:rsid w:val="009E41E4"/>
    <w:rsid w:val="009E4B62"/>
    <w:rsid w:val="009E544D"/>
    <w:rsid w:val="009E54C8"/>
    <w:rsid w:val="009F330D"/>
    <w:rsid w:val="009F381B"/>
    <w:rsid w:val="009F6B12"/>
    <w:rsid w:val="00A02A30"/>
    <w:rsid w:val="00A030FE"/>
    <w:rsid w:val="00A04F38"/>
    <w:rsid w:val="00A10B56"/>
    <w:rsid w:val="00A13132"/>
    <w:rsid w:val="00A13E38"/>
    <w:rsid w:val="00A30DA5"/>
    <w:rsid w:val="00A406C4"/>
    <w:rsid w:val="00A43504"/>
    <w:rsid w:val="00A4752C"/>
    <w:rsid w:val="00A4776A"/>
    <w:rsid w:val="00A479A1"/>
    <w:rsid w:val="00A5110F"/>
    <w:rsid w:val="00A652BA"/>
    <w:rsid w:val="00A71834"/>
    <w:rsid w:val="00A763B1"/>
    <w:rsid w:val="00A861A8"/>
    <w:rsid w:val="00A86E35"/>
    <w:rsid w:val="00A87857"/>
    <w:rsid w:val="00A97190"/>
    <w:rsid w:val="00A97C7B"/>
    <w:rsid w:val="00AB65BB"/>
    <w:rsid w:val="00AC051E"/>
    <w:rsid w:val="00AC2EB6"/>
    <w:rsid w:val="00AC4861"/>
    <w:rsid w:val="00AC5AF0"/>
    <w:rsid w:val="00AF5DCA"/>
    <w:rsid w:val="00AF6F66"/>
    <w:rsid w:val="00B03222"/>
    <w:rsid w:val="00B04503"/>
    <w:rsid w:val="00B06B76"/>
    <w:rsid w:val="00B11A04"/>
    <w:rsid w:val="00B14D3E"/>
    <w:rsid w:val="00B24F1D"/>
    <w:rsid w:val="00B30AA2"/>
    <w:rsid w:val="00B30C14"/>
    <w:rsid w:val="00B33FCC"/>
    <w:rsid w:val="00B45B32"/>
    <w:rsid w:val="00B46D40"/>
    <w:rsid w:val="00B478B0"/>
    <w:rsid w:val="00B500F5"/>
    <w:rsid w:val="00B62961"/>
    <w:rsid w:val="00B67EBF"/>
    <w:rsid w:val="00B74EC9"/>
    <w:rsid w:val="00B80F01"/>
    <w:rsid w:val="00B85213"/>
    <w:rsid w:val="00B863AA"/>
    <w:rsid w:val="00B87A09"/>
    <w:rsid w:val="00B910BD"/>
    <w:rsid w:val="00B94856"/>
    <w:rsid w:val="00BA28C8"/>
    <w:rsid w:val="00BA6C6C"/>
    <w:rsid w:val="00BB15B3"/>
    <w:rsid w:val="00BB63BD"/>
    <w:rsid w:val="00BC1F2B"/>
    <w:rsid w:val="00BD0F06"/>
    <w:rsid w:val="00BD3C5F"/>
    <w:rsid w:val="00BD55A9"/>
    <w:rsid w:val="00BD65BA"/>
    <w:rsid w:val="00BD734A"/>
    <w:rsid w:val="00BE2809"/>
    <w:rsid w:val="00BF45F1"/>
    <w:rsid w:val="00C052CB"/>
    <w:rsid w:val="00C060C9"/>
    <w:rsid w:val="00C07226"/>
    <w:rsid w:val="00C160C3"/>
    <w:rsid w:val="00C222F7"/>
    <w:rsid w:val="00C232C1"/>
    <w:rsid w:val="00C2773F"/>
    <w:rsid w:val="00C3067E"/>
    <w:rsid w:val="00C31DB7"/>
    <w:rsid w:val="00C32E46"/>
    <w:rsid w:val="00C47D43"/>
    <w:rsid w:val="00C61119"/>
    <w:rsid w:val="00C719A1"/>
    <w:rsid w:val="00C73A9E"/>
    <w:rsid w:val="00C9289E"/>
    <w:rsid w:val="00CA463F"/>
    <w:rsid w:val="00CA4A42"/>
    <w:rsid w:val="00CA7BEB"/>
    <w:rsid w:val="00CB1137"/>
    <w:rsid w:val="00CB3182"/>
    <w:rsid w:val="00CB36E1"/>
    <w:rsid w:val="00CB42D9"/>
    <w:rsid w:val="00CC0684"/>
    <w:rsid w:val="00CC1C51"/>
    <w:rsid w:val="00CC33D0"/>
    <w:rsid w:val="00CC3B50"/>
    <w:rsid w:val="00CC4AE9"/>
    <w:rsid w:val="00CD06AE"/>
    <w:rsid w:val="00CD4ABA"/>
    <w:rsid w:val="00CE0C43"/>
    <w:rsid w:val="00CE3992"/>
    <w:rsid w:val="00CE66C6"/>
    <w:rsid w:val="00CF0388"/>
    <w:rsid w:val="00CF2152"/>
    <w:rsid w:val="00D00C32"/>
    <w:rsid w:val="00D00ED7"/>
    <w:rsid w:val="00D10199"/>
    <w:rsid w:val="00D10E2C"/>
    <w:rsid w:val="00D17A0D"/>
    <w:rsid w:val="00D20001"/>
    <w:rsid w:val="00D20D76"/>
    <w:rsid w:val="00D33933"/>
    <w:rsid w:val="00D341AC"/>
    <w:rsid w:val="00D43CA1"/>
    <w:rsid w:val="00D47CCD"/>
    <w:rsid w:val="00D50049"/>
    <w:rsid w:val="00D519D8"/>
    <w:rsid w:val="00D624EF"/>
    <w:rsid w:val="00D6310D"/>
    <w:rsid w:val="00D72F71"/>
    <w:rsid w:val="00D7718C"/>
    <w:rsid w:val="00D8029F"/>
    <w:rsid w:val="00D81715"/>
    <w:rsid w:val="00D8451B"/>
    <w:rsid w:val="00D94B91"/>
    <w:rsid w:val="00DA6522"/>
    <w:rsid w:val="00DB681F"/>
    <w:rsid w:val="00DB7696"/>
    <w:rsid w:val="00DC5BD3"/>
    <w:rsid w:val="00DD1AD4"/>
    <w:rsid w:val="00DD30D0"/>
    <w:rsid w:val="00DD68A2"/>
    <w:rsid w:val="00DE4056"/>
    <w:rsid w:val="00DF14FB"/>
    <w:rsid w:val="00DF197C"/>
    <w:rsid w:val="00DF2F49"/>
    <w:rsid w:val="00DF5F15"/>
    <w:rsid w:val="00E00A56"/>
    <w:rsid w:val="00E05964"/>
    <w:rsid w:val="00E07164"/>
    <w:rsid w:val="00E17924"/>
    <w:rsid w:val="00E30761"/>
    <w:rsid w:val="00E34E70"/>
    <w:rsid w:val="00E35B78"/>
    <w:rsid w:val="00E43619"/>
    <w:rsid w:val="00E45817"/>
    <w:rsid w:val="00E54FD0"/>
    <w:rsid w:val="00E64B59"/>
    <w:rsid w:val="00E70265"/>
    <w:rsid w:val="00E71A4E"/>
    <w:rsid w:val="00E72899"/>
    <w:rsid w:val="00E75DAE"/>
    <w:rsid w:val="00E77254"/>
    <w:rsid w:val="00E80F66"/>
    <w:rsid w:val="00E82EE0"/>
    <w:rsid w:val="00E84D76"/>
    <w:rsid w:val="00E91D0B"/>
    <w:rsid w:val="00E93AF4"/>
    <w:rsid w:val="00EA2DF8"/>
    <w:rsid w:val="00EB155B"/>
    <w:rsid w:val="00EC7703"/>
    <w:rsid w:val="00ED13B7"/>
    <w:rsid w:val="00ED37B8"/>
    <w:rsid w:val="00EE3A04"/>
    <w:rsid w:val="00EE53BB"/>
    <w:rsid w:val="00EF3C9B"/>
    <w:rsid w:val="00EF5B2B"/>
    <w:rsid w:val="00F00994"/>
    <w:rsid w:val="00F0158D"/>
    <w:rsid w:val="00F05643"/>
    <w:rsid w:val="00F10051"/>
    <w:rsid w:val="00F11166"/>
    <w:rsid w:val="00F1193C"/>
    <w:rsid w:val="00F262D5"/>
    <w:rsid w:val="00F36836"/>
    <w:rsid w:val="00F51E3A"/>
    <w:rsid w:val="00F54CED"/>
    <w:rsid w:val="00F608A3"/>
    <w:rsid w:val="00F659B7"/>
    <w:rsid w:val="00F85C0A"/>
    <w:rsid w:val="00F90B83"/>
    <w:rsid w:val="00F93DA0"/>
    <w:rsid w:val="00F95BA4"/>
    <w:rsid w:val="00FB665C"/>
    <w:rsid w:val="00FC1706"/>
    <w:rsid w:val="00FC1E7C"/>
    <w:rsid w:val="00FC29B0"/>
    <w:rsid w:val="00FD0DC7"/>
    <w:rsid w:val="00FD4E77"/>
    <w:rsid w:val="00FE1FF1"/>
    <w:rsid w:val="00FF4819"/>
    <w:rsid w:val="00FF7B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17B1"/>
  <w15:chartTrackingRefBased/>
  <w15:docId w15:val="{87CA84C0-F375-4A45-ACBF-7930ADD7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7A38"/>
  </w:style>
  <w:style w:type="character" w:styleId="Hyperlink">
    <w:name w:val="Hyperlink"/>
    <w:basedOn w:val="DefaultParagraphFont"/>
    <w:uiPriority w:val="99"/>
    <w:unhideWhenUsed/>
    <w:rsid w:val="00707A38"/>
    <w:rPr>
      <w:color w:val="0000FF"/>
      <w:u w:val="single"/>
    </w:rPr>
  </w:style>
  <w:style w:type="character" w:styleId="Emphasis">
    <w:name w:val="Emphasis"/>
    <w:basedOn w:val="DefaultParagraphFont"/>
    <w:uiPriority w:val="20"/>
    <w:qFormat/>
    <w:rsid w:val="00707A38"/>
    <w:rPr>
      <w:i/>
      <w:iCs/>
    </w:rPr>
  </w:style>
  <w:style w:type="paragraph" w:styleId="ListParagraph">
    <w:name w:val="List Paragraph"/>
    <w:basedOn w:val="Normal"/>
    <w:uiPriority w:val="34"/>
    <w:qFormat/>
    <w:rsid w:val="00707A38"/>
    <w:pPr>
      <w:ind w:left="720"/>
      <w:contextualSpacing/>
    </w:pPr>
  </w:style>
  <w:style w:type="table" w:styleId="TableGrid">
    <w:name w:val="Table Grid"/>
    <w:basedOn w:val="TableNormal"/>
    <w:uiPriority w:val="39"/>
    <w:rsid w:val="0070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0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A38"/>
    <w:rPr>
      <w:rFonts w:ascii="Segoe UI" w:hAnsi="Segoe UI" w:cs="Segoe UI"/>
      <w:sz w:val="18"/>
      <w:szCs w:val="18"/>
    </w:rPr>
  </w:style>
  <w:style w:type="character" w:styleId="PlaceholderText">
    <w:name w:val="Placeholder Text"/>
    <w:basedOn w:val="DefaultParagraphFont"/>
    <w:uiPriority w:val="99"/>
    <w:semiHidden/>
    <w:rsid w:val="00707A38"/>
    <w:rPr>
      <w:color w:val="808080"/>
    </w:rPr>
  </w:style>
  <w:style w:type="paragraph" w:styleId="Header">
    <w:name w:val="header"/>
    <w:basedOn w:val="Normal"/>
    <w:link w:val="HeaderChar"/>
    <w:uiPriority w:val="99"/>
    <w:unhideWhenUsed/>
    <w:rsid w:val="00707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A38"/>
  </w:style>
  <w:style w:type="paragraph" w:styleId="Footer">
    <w:name w:val="footer"/>
    <w:basedOn w:val="Normal"/>
    <w:link w:val="FooterChar"/>
    <w:uiPriority w:val="99"/>
    <w:unhideWhenUsed/>
    <w:rsid w:val="00707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2144</TotalTime>
  <Pages>30</Pages>
  <Words>8918</Words>
  <Characters>50834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arpitasharma</dc:creator>
  <cp:keywords/>
  <dc:description/>
  <cp:lastModifiedBy>arpitasharma</cp:lastModifiedBy>
  <cp:revision>417</cp:revision>
  <dcterms:created xsi:type="dcterms:W3CDTF">2022-01-18T05:59:00Z</dcterms:created>
  <dcterms:modified xsi:type="dcterms:W3CDTF">2022-03-11T08:26:00Z</dcterms:modified>
</cp:coreProperties>
</file>